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>
        <w:rPr>
          <w:b/>
          <w:sz w:val="32"/>
          <w:szCs w:val="32"/>
        </w:rPr>
        <w:t xml:space="preserve">Інформація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F00EC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січень-</w:t>
      </w:r>
      <w:r w:rsidR="008615B8">
        <w:rPr>
          <w:b/>
          <w:sz w:val="32"/>
          <w:szCs w:val="32"/>
        </w:rPr>
        <w:t>листопад</w:t>
      </w:r>
      <w:r>
        <w:rPr>
          <w:b/>
          <w:sz w:val="32"/>
          <w:szCs w:val="32"/>
        </w:rPr>
        <w:t xml:space="preserve"> </w:t>
      </w:r>
      <w:r w:rsidRPr="00BD6E05">
        <w:rPr>
          <w:b/>
          <w:sz w:val="32"/>
          <w:szCs w:val="32"/>
        </w:rPr>
        <w:t>2021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8746AC" w:rsidRPr="00E3071C" w:rsidRDefault="008746AC" w:rsidP="008746AC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E3071C">
        <w:rPr>
          <w:sz w:val="28"/>
          <w:szCs w:val="28"/>
        </w:rPr>
        <w:t>м.Вараші</w:t>
      </w:r>
      <w:proofErr w:type="spellEnd"/>
      <w:r w:rsidRPr="00E3071C">
        <w:rPr>
          <w:sz w:val="28"/>
          <w:szCs w:val="28"/>
        </w:rPr>
        <w:t xml:space="preserve"> про виконання місцевих бюджетів за січень-</w:t>
      </w:r>
      <w:r>
        <w:rPr>
          <w:sz w:val="28"/>
          <w:szCs w:val="28"/>
        </w:rPr>
        <w:t>листопад</w:t>
      </w:r>
      <w:r w:rsidRPr="00E3071C">
        <w:rPr>
          <w:sz w:val="28"/>
          <w:szCs w:val="28"/>
        </w:rPr>
        <w:t xml:space="preserve"> 2021 року надходження до </w:t>
      </w:r>
      <w:r w:rsidRPr="00E3071C">
        <w:rPr>
          <w:i/>
          <w:sz w:val="28"/>
          <w:szCs w:val="28"/>
        </w:rPr>
        <w:t>загального фонду</w:t>
      </w:r>
      <w:r w:rsidRPr="00E3071C">
        <w:rPr>
          <w:sz w:val="28"/>
          <w:szCs w:val="28"/>
        </w:rPr>
        <w:t xml:space="preserve"> бюджету </w:t>
      </w:r>
      <w:proofErr w:type="spellStart"/>
      <w:r w:rsidRPr="00E3071C">
        <w:rPr>
          <w:sz w:val="28"/>
          <w:szCs w:val="28"/>
        </w:rPr>
        <w:t>Вараської</w:t>
      </w:r>
      <w:proofErr w:type="spellEnd"/>
      <w:r w:rsidRPr="00E3071C">
        <w:rPr>
          <w:sz w:val="28"/>
          <w:szCs w:val="28"/>
        </w:rPr>
        <w:t xml:space="preserve"> міської територіальної громади склали </w:t>
      </w:r>
      <w:r>
        <w:rPr>
          <w:b/>
          <w:sz w:val="28"/>
          <w:szCs w:val="28"/>
        </w:rPr>
        <w:t>713 943,5</w:t>
      </w:r>
      <w:r w:rsidRPr="00E3071C">
        <w:rPr>
          <w:b/>
          <w:sz w:val="28"/>
          <w:szCs w:val="28"/>
          <w:lang w:val="en-US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. 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i/>
          <w:sz w:val="28"/>
          <w:szCs w:val="28"/>
        </w:rPr>
        <w:t xml:space="preserve">Доходи загального фонду </w:t>
      </w:r>
      <w:r w:rsidRPr="00E3071C">
        <w:rPr>
          <w:sz w:val="28"/>
          <w:szCs w:val="28"/>
        </w:rPr>
        <w:t xml:space="preserve">бюджету (без урахування офіційних трансфертів) склали </w:t>
      </w:r>
      <w:r>
        <w:rPr>
          <w:b/>
          <w:sz w:val="28"/>
          <w:szCs w:val="28"/>
          <w:lang w:val="ru-RU"/>
        </w:rPr>
        <w:t>570 127,3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101,3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до планових надходжень (</w:t>
      </w:r>
      <w:r w:rsidRPr="00102258">
        <w:rPr>
          <w:b/>
          <w:sz w:val="28"/>
          <w:szCs w:val="28"/>
          <w:lang w:val="ru-RU"/>
        </w:rPr>
        <w:t>+</w:t>
      </w:r>
      <w:r>
        <w:rPr>
          <w:b/>
          <w:sz w:val="28"/>
          <w:szCs w:val="28"/>
          <w:lang w:val="ru-RU"/>
        </w:rPr>
        <w:t>7 348,3</w:t>
      </w:r>
      <w:r w:rsidR="006061B7"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та </w:t>
      </w:r>
      <w:r>
        <w:rPr>
          <w:b/>
          <w:sz w:val="28"/>
          <w:szCs w:val="28"/>
        </w:rPr>
        <w:t>124,0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(+</w:t>
      </w:r>
      <w:r>
        <w:rPr>
          <w:b/>
          <w:sz w:val="28"/>
          <w:szCs w:val="28"/>
        </w:rPr>
        <w:t>110 209,7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 до показника відповідного періоду 2020 року.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Основними </w:t>
      </w:r>
      <w:proofErr w:type="spellStart"/>
      <w:r w:rsidRPr="00E3071C">
        <w:rPr>
          <w:sz w:val="28"/>
          <w:szCs w:val="28"/>
        </w:rPr>
        <w:t>бюджетоформуючими</w:t>
      </w:r>
      <w:proofErr w:type="spellEnd"/>
      <w:r w:rsidRPr="00E3071C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</w:t>
      </w:r>
      <w:r>
        <w:rPr>
          <w:sz w:val="28"/>
          <w:szCs w:val="28"/>
        </w:rPr>
        <w:t>і</w:t>
      </w:r>
      <w:r w:rsidRPr="00E3071C">
        <w:rPr>
          <w:sz w:val="28"/>
          <w:szCs w:val="28"/>
        </w:rPr>
        <w:t xml:space="preserve"> місцеві податки і збори.</w:t>
      </w:r>
    </w:p>
    <w:p w:rsidR="008746AC" w:rsidRPr="00E3071C" w:rsidRDefault="008746AC" w:rsidP="008746AC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займає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83,9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 його надходження склали </w:t>
      </w:r>
      <w:r>
        <w:rPr>
          <w:b/>
          <w:sz w:val="28"/>
          <w:szCs w:val="28"/>
        </w:rPr>
        <w:t>478 152,5</w:t>
      </w:r>
      <w:r w:rsidR="00176AD3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92 114,3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або на</w:t>
      </w:r>
      <w:r w:rsidRPr="00E30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23,9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 проти надходжень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за відповідний період минулого року.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 w:rsidRPr="00E3071C">
        <w:rPr>
          <w:b/>
          <w:sz w:val="28"/>
          <w:szCs w:val="28"/>
        </w:rPr>
        <w:t>11,</w:t>
      </w:r>
      <w:r>
        <w:rPr>
          <w:b/>
          <w:sz w:val="28"/>
          <w:szCs w:val="28"/>
        </w:rPr>
        <w:t>8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. Фактичні їх надходження склали </w:t>
      </w:r>
      <w:r>
        <w:rPr>
          <w:b/>
          <w:sz w:val="28"/>
          <w:szCs w:val="28"/>
        </w:rPr>
        <w:t>67 118,4</w:t>
      </w:r>
      <w:r w:rsidR="00176AD3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10 722,5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19,0</w:t>
      </w:r>
      <w:r w:rsidRPr="00E3071C">
        <w:rPr>
          <w:b/>
          <w:sz w:val="28"/>
          <w:szCs w:val="28"/>
        </w:rPr>
        <w:t xml:space="preserve">%, </w:t>
      </w:r>
      <w:r w:rsidRPr="00E3071C">
        <w:rPr>
          <w:sz w:val="28"/>
          <w:szCs w:val="28"/>
        </w:rPr>
        <w:t>більше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проти таких надходжень за відповідний період минулого року.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  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плату за землю -  </w:t>
      </w:r>
      <w:r>
        <w:rPr>
          <w:b/>
          <w:sz w:val="28"/>
          <w:szCs w:val="28"/>
        </w:rPr>
        <w:t>55,6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37 347,1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плати за землю проти відповідного періоду 2020 року склав </w:t>
      </w:r>
      <w:r>
        <w:rPr>
          <w:b/>
          <w:sz w:val="28"/>
          <w:szCs w:val="28"/>
        </w:rPr>
        <w:t>17,4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5 535,5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); 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єдиний податок  - </w:t>
      </w:r>
      <w:r>
        <w:rPr>
          <w:b/>
          <w:sz w:val="28"/>
          <w:szCs w:val="28"/>
        </w:rPr>
        <w:t>35,5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23 826,3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єдиного податку проти відповідного періоду 2020 року склав </w:t>
      </w:r>
      <w:r w:rsidRPr="00E307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E307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6 402,1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</w:t>
      </w:r>
      <w:r w:rsidRPr="00E3071C">
        <w:rPr>
          <w:b/>
          <w:sz w:val="28"/>
          <w:szCs w:val="28"/>
        </w:rPr>
        <w:t xml:space="preserve"> </w:t>
      </w:r>
    </w:p>
    <w:p w:rsidR="008746AC" w:rsidRPr="00E3071C" w:rsidRDefault="008746AC" w:rsidP="008746AC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Надходження акцизного податку </w:t>
      </w:r>
      <w:r>
        <w:rPr>
          <w:sz w:val="28"/>
          <w:szCs w:val="28"/>
        </w:rPr>
        <w:t>та</w:t>
      </w:r>
      <w:r w:rsidRPr="00E3071C">
        <w:rPr>
          <w:sz w:val="28"/>
          <w:szCs w:val="28"/>
        </w:rPr>
        <w:t xml:space="preserve"> рентної плати за використання інших природних ресурсів склали </w:t>
      </w:r>
      <w:r w:rsidRPr="00E3071C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8</w:t>
      </w:r>
      <w:r w:rsidRPr="00E3071C">
        <w:rPr>
          <w:b/>
          <w:sz w:val="28"/>
          <w:szCs w:val="28"/>
        </w:rPr>
        <w:t xml:space="preserve">% </w:t>
      </w:r>
      <w:r w:rsidRPr="00E3071C">
        <w:rPr>
          <w:sz w:val="28"/>
          <w:szCs w:val="28"/>
        </w:rPr>
        <w:t>(</w:t>
      </w:r>
      <w:r>
        <w:rPr>
          <w:b/>
          <w:sz w:val="28"/>
          <w:szCs w:val="28"/>
        </w:rPr>
        <w:t>16 196,3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 і  </w:t>
      </w:r>
      <w:r w:rsidRPr="00E3071C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2 316,5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8746AC" w:rsidRPr="00CA49AE" w:rsidRDefault="008746AC" w:rsidP="008746AC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>
        <w:rPr>
          <w:sz w:val="28"/>
          <w:szCs w:val="28"/>
          <w:lang w:val="ru-RU"/>
        </w:rPr>
        <w:t xml:space="preserve">        </w:t>
      </w:r>
      <w:r w:rsidRPr="00E3071C">
        <w:rPr>
          <w:sz w:val="28"/>
          <w:szCs w:val="28"/>
        </w:rPr>
        <w:t xml:space="preserve">Офіційні трансферти до загального фонду бюджету склали  </w:t>
      </w:r>
      <w:r>
        <w:rPr>
          <w:b/>
          <w:sz w:val="28"/>
          <w:szCs w:val="28"/>
          <w:lang w:val="ru-RU"/>
        </w:rPr>
        <w:t>143 816,2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 xml:space="preserve">, </w:t>
      </w:r>
      <w:r>
        <w:rPr>
          <w:rFonts w:ascii="Times New Roman CYR" w:hAnsi="Times New Roman CYR"/>
          <w:bCs/>
          <w:sz w:val="28"/>
          <w:szCs w:val="20"/>
          <w:lang w:eastAsia="ru-RU"/>
        </w:rPr>
        <w:t>що складає 99,6%</w:t>
      </w:r>
      <w:r w:rsidRPr="00CA49AE">
        <w:rPr>
          <w:rFonts w:ascii="Times New Roman CYR" w:hAnsi="Times New Roman CYR"/>
          <w:bCs/>
          <w:sz w:val="28"/>
          <w:szCs w:val="20"/>
          <w:lang w:eastAsia="ru-RU"/>
        </w:rPr>
        <w:t xml:space="preserve"> від передбачених розписом доходів бюджету на звітний період.</w:t>
      </w:r>
    </w:p>
    <w:p w:rsidR="008746AC" w:rsidRPr="00436A17" w:rsidRDefault="008746AC" w:rsidP="008746A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>До</w:t>
      </w:r>
      <w:r>
        <w:rPr>
          <w:sz w:val="28"/>
          <w:szCs w:val="28"/>
        </w:rPr>
        <w:t>ходи</w:t>
      </w:r>
      <w:r w:rsidRPr="00E3071C">
        <w:rPr>
          <w:sz w:val="28"/>
          <w:szCs w:val="28"/>
        </w:rPr>
        <w:t xml:space="preserve"> </w:t>
      </w:r>
      <w:r w:rsidRPr="00E3071C">
        <w:rPr>
          <w:i/>
          <w:sz w:val="28"/>
          <w:szCs w:val="28"/>
        </w:rPr>
        <w:t xml:space="preserve">спеціального фонду </w:t>
      </w:r>
      <w:r w:rsidRPr="00E3071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склали</w:t>
      </w:r>
      <w:r w:rsidRPr="00E3071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59 360,7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з яких </w:t>
      </w:r>
      <w:r>
        <w:rPr>
          <w:b/>
          <w:sz w:val="28"/>
          <w:szCs w:val="28"/>
        </w:rPr>
        <w:t>57 515,6</w:t>
      </w:r>
      <w:r w:rsidRPr="00E3071C">
        <w:rPr>
          <w:b/>
          <w:sz w:val="28"/>
          <w:szCs w:val="28"/>
        </w:rPr>
        <w:t> тис. грн</w:t>
      </w:r>
      <w:r w:rsidRPr="00E3071C">
        <w:rPr>
          <w:sz w:val="28"/>
          <w:szCs w:val="28"/>
        </w:rPr>
        <w:t xml:space="preserve">, або </w:t>
      </w:r>
      <w:r>
        <w:rPr>
          <w:b/>
          <w:sz w:val="28"/>
          <w:szCs w:val="28"/>
        </w:rPr>
        <w:t>96,9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складають власні надходження бюджетних установ і  </w:t>
      </w:r>
      <w:r>
        <w:rPr>
          <w:b/>
          <w:sz w:val="28"/>
          <w:szCs w:val="28"/>
        </w:rPr>
        <w:t>1 427,9</w:t>
      </w:r>
      <w:r w:rsidRPr="00E3071C">
        <w:rPr>
          <w:b/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</w:t>
      </w:r>
      <w:r>
        <w:rPr>
          <w:b/>
          <w:sz w:val="28"/>
          <w:szCs w:val="28"/>
        </w:rPr>
        <w:t>2,4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2E3CB3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бюджету розвитку, де </w:t>
      </w:r>
      <w:r>
        <w:rPr>
          <w:b/>
          <w:sz w:val="28"/>
          <w:szCs w:val="28"/>
        </w:rPr>
        <w:t>1 425,5</w:t>
      </w:r>
      <w:r w:rsidRPr="00E44EB8">
        <w:rPr>
          <w:b/>
          <w:sz w:val="28"/>
          <w:szCs w:val="28"/>
        </w:rPr>
        <w:t xml:space="preserve"> </w:t>
      </w:r>
      <w:proofErr w:type="spellStart"/>
      <w:r w:rsidRPr="00E44EB8">
        <w:rPr>
          <w:b/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 </w:t>
      </w:r>
      <w:r w:rsidRPr="00436A17">
        <w:rPr>
          <w:sz w:val="28"/>
          <w:szCs w:val="28"/>
          <w:lang w:eastAsia="ru-RU"/>
        </w:rPr>
        <w:t>–</w:t>
      </w:r>
      <w:r w:rsidRPr="00E3071C">
        <w:rPr>
          <w:sz w:val="28"/>
          <w:szCs w:val="28"/>
        </w:rPr>
        <w:t xml:space="preserve"> </w:t>
      </w:r>
      <w:r w:rsidRPr="00436A17">
        <w:rPr>
          <w:sz w:val="28"/>
          <w:szCs w:val="28"/>
          <w:lang w:eastAsia="ru-RU"/>
        </w:rPr>
        <w:t xml:space="preserve">кошти від продажу землі </w:t>
      </w:r>
      <w:r>
        <w:rPr>
          <w:sz w:val="28"/>
          <w:szCs w:val="28"/>
          <w:lang w:eastAsia="ru-RU"/>
        </w:rPr>
        <w:t xml:space="preserve">та  </w:t>
      </w:r>
      <w:r w:rsidRPr="00E44EB8">
        <w:rPr>
          <w:b/>
          <w:sz w:val="28"/>
          <w:szCs w:val="28"/>
          <w:lang w:eastAsia="ru-RU"/>
        </w:rPr>
        <w:t xml:space="preserve">2,4 </w:t>
      </w:r>
      <w:proofErr w:type="spellStart"/>
      <w:r w:rsidRPr="00E44EB8">
        <w:rPr>
          <w:b/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436A17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436A17">
        <w:rPr>
          <w:sz w:val="28"/>
          <w:szCs w:val="28"/>
          <w:lang w:eastAsia="ru-RU"/>
        </w:rPr>
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</w:t>
      </w:r>
      <w:r>
        <w:rPr>
          <w:sz w:val="28"/>
          <w:szCs w:val="28"/>
          <w:lang w:eastAsia="ru-RU"/>
        </w:rPr>
        <w:t>конструкцію) та придбання житла</w:t>
      </w:r>
      <w:r w:rsidRPr="00436A17">
        <w:rPr>
          <w:sz w:val="28"/>
          <w:szCs w:val="28"/>
          <w:lang w:eastAsia="ru-RU"/>
        </w:rPr>
        <w:t>.</w:t>
      </w:r>
    </w:p>
    <w:p w:rsidR="008746AC" w:rsidRPr="007D7D2B" w:rsidRDefault="008746AC" w:rsidP="008746AC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E3071C">
        <w:rPr>
          <w:sz w:val="28"/>
          <w:szCs w:val="28"/>
        </w:rPr>
        <w:t xml:space="preserve">В цілому доходи бюджету </w:t>
      </w:r>
      <w:r>
        <w:rPr>
          <w:sz w:val="28"/>
          <w:szCs w:val="28"/>
        </w:rPr>
        <w:t xml:space="preserve">міської територіальної громади </w:t>
      </w:r>
      <w:r w:rsidRPr="00E3071C">
        <w:rPr>
          <w:sz w:val="28"/>
          <w:szCs w:val="28"/>
        </w:rPr>
        <w:t>станом на 01.</w:t>
      </w:r>
      <w:r>
        <w:rPr>
          <w:sz w:val="28"/>
          <w:szCs w:val="28"/>
        </w:rPr>
        <w:t>12</w:t>
      </w:r>
      <w:r w:rsidRPr="00E3071C">
        <w:rPr>
          <w:sz w:val="28"/>
          <w:szCs w:val="28"/>
        </w:rPr>
        <w:t>.2021</w:t>
      </w:r>
      <w:r w:rsidRPr="00AE5944">
        <w:rPr>
          <w:sz w:val="28"/>
          <w:szCs w:val="28"/>
          <w:lang w:val="ru-RU"/>
        </w:rPr>
        <w:t xml:space="preserve"> </w:t>
      </w:r>
      <w:r w:rsidRPr="00E3071C">
        <w:rPr>
          <w:sz w:val="28"/>
          <w:szCs w:val="28"/>
        </w:rPr>
        <w:t xml:space="preserve">склали </w:t>
      </w:r>
      <w:r>
        <w:rPr>
          <w:b/>
          <w:sz w:val="28"/>
          <w:szCs w:val="28"/>
          <w:lang w:val="ru-RU"/>
        </w:rPr>
        <w:t>773 304,2</w:t>
      </w:r>
      <w:r w:rsidRPr="00E3071C">
        <w:rPr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>
        <w:rPr>
          <w:b/>
          <w:sz w:val="28"/>
          <w:szCs w:val="28"/>
        </w:rPr>
        <w:t>59 996,6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8,4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196 026,5</w:t>
      </w:r>
      <w:r w:rsidRPr="00E3071C">
        <w:rPr>
          <w:b/>
          <w:sz w:val="28"/>
          <w:szCs w:val="28"/>
          <w:lang w:val="ru-RU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34,0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більше аналогічного показника за відповідний період минулого року.</w:t>
      </w:r>
      <w:r w:rsidRPr="007D7D2B">
        <w:rPr>
          <w:sz w:val="28"/>
          <w:szCs w:val="28"/>
          <w:lang w:eastAsia="ru-RU"/>
        </w:rPr>
        <w:t xml:space="preserve"> </w:t>
      </w:r>
    </w:p>
    <w:p w:rsidR="00A76973" w:rsidRPr="00C8607D" w:rsidRDefault="00A76973" w:rsidP="00A7697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7C05DF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</w:t>
      </w:r>
      <w:r w:rsidR="00945C60">
        <w:rPr>
          <w:szCs w:val="28"/>
        </w:rPr>
        <w:t>1</w:t>
      </w:r>
      <w:r w:rsidR="00D91E2A">
        <w:rPr>
          <w:szCs w:val="28"/>
        </w:rPr>
        <w:t>2</w:t>
      </w:r>
      <w:r>
        <w:rPr>
          <w:szCs w:val="28"/>
        </w:rPr>
        <w:t xml:space="preserve">.2021 </w:t>
      </w:r>
      <w:r w:rsidRPr="00A42B69">
        <w:rPr>
          <w:szCs w:val="28"/>
        </w:rPr>
        <w:t xml:space="preserve">року виконання бюджету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 w:rsidR="00D91E2A">
        <w:rPr>
          <w:b/>
          <w:szCs w:val="28"/>
          <w:lang w:val="ru-RU"/>
        </w:rPr>
        <w:t>91,</w:t>
      </w:r>
      <w:r w:rsidR="000A28C8">
        <w:rPr>
          <w:b/>
          <w:szCs w:val="28"/>
          <w:lang w:val="ru-RU"/>
        </w:rPr>
        <w:t>8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 w:rsidR="00D91E2A">
        <w:rPr>
          <w:b/>
          <w:szCs w:val="28"/>
          <w:lang w:val="ru-RU"/>
        </w:rPr>
        <w:t>93,6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="00D91E2A">
        <w:rPr>
          <w:b/>
          <w:szCs w:val="28"/>
        </w:rPr>
        <w:t>83,4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>на січень-</w:t>
      </w:r>
      <w:r w:rsidR="00D91E2A">
        <w:rPr>
          <w:szCs w:val="28"/>
        </w:rPr>
        <w:t>листопад</w:t>
      </w:r>
      <w:r>
        <w:rPr>
          <w:szCs w:val="28"/>
        </w:rPr>
        <w:t xml:space="preserve"> </w:t>
      </w:r>
      <w:r w:rsidRPr="00C01689">
        <w:rPr>
          <w:szCs w:val="28"/>
        </w:rPr>
        <w:t>20</w:t>
      </w:r>
      <w:r>
        <w:rPr>
          <w:szCs w:val="28"/>
        </w:rPr>
        <w:t>21</w:t>
      </w:r>
      <w:r w:rsidRPr="00C01689">
        <w:rPr>
          <w:szCs w:val="28"/>
        </w:rPr>
        <w:t xml:space="preserve"> р</w:t>
      </w:r>
      <w:r>
        <w:rPr>
          <w:szCs w:val="28"/>
        </w:rPr>
        <w:t>о</w:t>
      </w:r>
      <w:r w:rsidRPr="00C01689">
        <w:rPr>
          <w:szCs w:val="28"/>
        </w:rPr>
        <w:t>к</w:t>
      </w:r>
      <w:r>
        <w:rPr>
          <w:szCs w:val="28"/>
        </w:rPr>
        <w:t>у</w:t>
      </w:r>
      <w:r w:rsidRPr="00C01689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8F5A86">
        <w:rPr>
          <w:b/>
          <w:szCs w:val="28"/>
        </w:rPr>
        <w:t>804 562,1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8F5A86">
        <w:rPr>
          <w:b/>
          <w:szCs w:val="28"/>
        </w:rPr>
        <w:t>73</w:t>
      </w:r>
      <w:r w:rsidR="00731415">
        <w:rPr>
          <w:b/>
          <w:szCs w:val="28"/>
        </w:rPr>
        <w:t>8</w:t>
      </w:r>
      <w:bookmarkStart w:id="0" w:name="_GoBack"/>
      <w:bookmarkEnd w:id="0"/>
      <w:r w:rsidR="000A28C8">
        <w:rPr>
          <w:b/>
          <w:szCs w:val="28"/>
        </w:rPr>
        <w:t> 953,1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у тому числі по видатках </w:t>
      </w:r>
      <w:r w:rsidR="008F5A86">
        <w:rPr>
          <w:b/>
          <w:szCs w:val="28"/>
        </w:rPr>
        <w:t>739</w:t>
      </w:r>
      <w:r w:rsidR="00176AD3">
        <w:rPr>
          <w:b/>
          <w:szCs w:val="28"/>
        </w:rPr>
        <w:t> </w:t>
      </w:r>
      <w:r w:rsidR="008F5A86">
        <w:rPr>
          <w:b/>
          <w:szCs w:val="28"/>
        </w:rPr>
        <w:t>018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,</w:t>
      </w:r>
      <w:r w:rsidRPr="00C01689">
        <w:rPr>
          <w:szCs w:val="28"/>
        </w:rPr>
        <w:t xml:space="preserve"> 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 w:rsidR="008F5A86" w:rsidRPr="008F5A86">
        <w:rPr>
          <w:b/>
          <w:szCs w:val="28"/>
          <w:lang w:val="ru-RU"/>
        </w:rPr>
        <w:t>64,9</w:t>
      </w:r>
      <w:r>
        <w:rPr>
          <w:b/>
          <w:szCs w:val="28"/>
        </w:rPr>
        <w:t> </w:t>
      </w:r>
      <w:proofErr w:type="spellStart"/>
      <w:r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. Обсяг видатків збільшився у порівнянні з аналогічним періодом минулого року на </w:t>
      </w:r>
      <w:r w:rsidR="00057876">
        <w:rPr>
          <w:b/>
          <w:szCs w:val="28"/>
          <w:lang w:val="ru-RU"/>
        </w:rPr>
        <w:t>175 395,5</w:t>
      </w:r>
      <w:r w:rsidR="00176AD3">
        <w:rPr>
          <w:b/>
          <w:szCs w:val="28"/>
          <w:lang w:val="ru-RU"/>
        </w:rPr>
        <w:t> 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057876">
        <w:rPr>
          <w:b/>
          <w:szCs w:val="28"/>
        </w:rPr>
        <w:t>31,1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%.</w:t>
      </w:r>
    </w:p>
    <w:p w:rsidR="007C05DF" w:rsidRPr="00C01689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0414FD">
        <w:rPr>
          <w:b/>
          <w:szCs w:val="28"/>
        </w:rPr>
        <w:t>667 915,6</w:t>
      </w:r>
      <w:r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0414FD">
        <w:rPr>
          <w:b/>
          <w:szCs w:val="28"/>
        </w:rPr>
        <w:t>625 013,1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, що </w:t>
      </w:r>
      <w:r w:rsidRPr="00DD6F79">
        <w:rPr>
          <w:szCs w:val="28"/>
        </w:rPr>
        <w:t xml:space="preserve">на </w:t>
      </w:r>
      <w:r w:rsidR="00F3661B">
        <w:rPr>
          <w:b/>
          <w:szCs w:val="28"/>
        </w:rPr>
        <w:t>166 360,8</w:t>
      </w:r>
      <w:r w:rsidRPr="00DD6F79">
        <w:rPr>
          <w:b/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F3661B">
        <w:rPr>
          <w:b/>
          <w:szCs w:val="28"/>
        </w:rPr>
        <w:t>36,3</w:t>
      </w:r>
      <w:r w:rsidR="00DD6F79" w:rsidRPr="00DD6F79">
        <w:rPr>
          <w:b/>
          <w:szCs w:val="28"/>
        </w:rPr>
        <w:t> </w:t>
      </w:r>
      <w:r w:rsidRPr="00DD6F79">
        <w:rPr>
          <w:szCs w:val="28"/>
        </w:rPr>
        <w:t>% більше рівня минулого року.</w:t>
      </w:r>
    </w:p>
    <w:p w:rsidR="007C05DF" w:rsidRPr="00F25F58" w:rsidRDefault="007C05DF" w:rsidP="007C05D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032761">
        <w:rPr>
          <w:b/>
          <w:szCs w:val="28"/>
        </w:rPr>
        <w:t>136 646,5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032761">
        <w:rPr>
          <w:b/>
          <w:szCs w:val="28"/>
        </w:rPr>
        <w:t>113 940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032761">
        <w:rPr>
          <w:b/>
          <w:szCs w:val="28"/>
        </w:rPr>
        <w:t>114 004,9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4A5080">
        <w:rPr>
          <w:b/>
          <w:szCs w:val="28"/>
        </w:rPr>
        <w:t>6</w:t>
      </w:r>
      <w:r w:rsidR="00032761">
        <w:rPr>
          <w:b/>
          <w:szCs w:val="28"/>
        </w:rPr>
        <w:t>4</w:t>
      </w:r>
      <w:r w:rsidR="004A5080">
        <w:rPr>
          <w:b/>
          <w:szCs w:val="28"/>
        </w:rPr>
        <w:t>,</w:t>
      </w:r>
      <w:r w:rsidR="00032761">
        <w:rPr>
          <w:b/>
          <w:szCs w:val="28"/>
        </w:rPr>
        <w:t>9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. У порівнянні з аналогічним періодом минулого року обсяг видатків зріс на </w:t>
      </w:r>
      <w:r w:rsidR="00F3661B">
        <w:rPr>
          <w:b/>
          <w:szCs w:val="28"/>
        </w:rPr>
        <w:t>9 034,7</w:t>
      </w:r>
      <w:r w:rsidRPr="009E0CFE">
        <w:rPr>
          <w:b/>
          <w:szCs w:val="28"/>
        </w:rPr>
        <w:t xml:space="preserve"> </w:t>
      </w:r>
      <w:proofErr w:type="spellStart"/>
      <w:r w:rsidRPr="009E0CFE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 або </w:t>
      </w:r>
      <w:r w:rsidR="00FD4437">
        <w:rPr>
          <w:szCs w:val="28"/>
        </w:rPr>
        <w:t xml:space="preserve">на </w:t>
      </w:r>
      <w:r w:rsidR="00F3661B" w:rsidRPr="00F3661B">
        <w:rPr>
          <w:b/>
          <w:szCs w:val="28"/>
        </w:rPr>
        <w:t>8,6</w:t>
      </w:r>
      <w:r w:rsidRPr="009E0CFE">
        <w:rPr>
          <w:szCs w:val="28"/>
        </w:rPr>
        <w:t xml:space="preserve"> %.</w:t>
      </w:r>
    </w:p>
    <w:p w:rsidR="007C05DF" w:rsidRDefault="007C05DF" w:rsidP="007C05DF">
      <w:pPr>
        <w:ind w:firstLine="567"/>
        <w:jc w:val="both"/>
        <w:rPr>
          <w:b/>
          <w:sz w:val="27"/>
          <w:szCs w:val="27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Pr="00A30E24" w:rsidRDefault="00D474F1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Олена Хандучка</w:t>
      </w:r>
      <w:r w:rsidR="009D6195">
        <w:rPr>
          <w:sz w:val="20"/>
        </w:rPr>
        <w:t xml:space="preserve"> </w:t>
      </w:r>
      <w:r w:rsidR="009D6195" w:rsidRPr="00A30E24">
        <w:rPr>
          <w:sz w:val="20"/>
        </w:rPr>
        <w:t>2-43-83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Ірина Павельчук </w:t>
      </w:r>
      <w:r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176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761"/>
    <w:rsid w:val="00032ABA"/>
    <w:rsid w:val="0003432C"/>
    <w:rsid w:val="00037622"/>
    <w:rsid w:val="00040864"/>
    <w:rsid w:val="000412D9"/>
    <w:rsid w:val="000414FD"/>
    <w:rsid w:val="00041BBB"/>
    <w:rsid w:val="000440E8"/>
    <w:rsid w:val="00050E0C"/>
    <w:rsid w:val="00054B50"/>
    <w:rsid w:val="00056524"/>
    <w:rsid w:val="00057876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28C8"/>
    <w:rsid w:val="000A6A11"/>
    <w:rsid w:val="000B2730"/>
    <w:rsid w:val="000B56DD"/>
    <w:rsid w:val="000B58D7"/>
    <w:rsid w:val="000B642B"/>
    <w:rsid w:val="000B66B4"/>
    <w:rsid w:val="000C3E8A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40075"/>
    <w:rsid w:val="00140AD3"/>
    <w:rsid w:val="00142C39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0343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27F3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1250"/>
    <w:rsid w:val="00344121"/>
    <w:rsid w:val="00350C01"/>
    <w:rsid w:val="00351292"/>
    <w:rsid w:val="003543A4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2E3A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42455"/>
    <w:rsid w:val="004517B0"/>
    <w:rsid w:val="00473517"/>
    <w:rsid w:val="004769B0"/>
    <w:rsid w:val="004769BD"/>
    <w:rsid w:val="004806C2"/>
    <w:rsid w:val="00486B51"/>
    <w:rsid w:val="0049115D"/>
    <w:rsid w:val="004971D6"/>
    <w:rsid w:val="004A5080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52AD"/>
    <w:rsid w:val="00516F3A"/>
    <w:rsid w:val="00524426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51F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1B7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7AF"/>
    <w:rsid w:val="006B5A20"/>
    <w:rsid w:val="006B75BC"/>
    <w:rsid w:val="006C02AD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2AD7"/>
    <w:rsid w:val="00706F2C"/>
    <w:rsid w:val="00710F9A"/>
    <w:rsid w:val="00712383"/>
    <w:rsid w:val="00712A99"/>
    <w:rsid w:val="00714642"/>
    <w:rsid w:val="00715557"/>
    <w:rsid w:val="00717041"/>
    <w:rsid w:val="00721A71"/>
    <w:rsid w:val="00730420"/>
    <w:rsid w:val="00731086"/>
    <w:rsid w:val="00731415"/>
    <w:rsid w:val="00731A8C"/>
    <w:rsid w:val="007376AD"/>
    <w:rsid w:val="0074703A"/>
    <w:rsid w:val="00752C81"/>
    <w:rsid w:val="00753013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5B8"/>
    <w:rsid w:val="00861777"/>
    <w:rsid w:val="00867FC9"/>
    <w:rsid w:val="00870373"/>
    <w:rsid w:val="00871490"/>
    <w:rsid w:val="00873D6A"/>
    <w:rsid w:val="008746AC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5A86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2D7D"/>
    <w:rsid w:val="00943292"/>
    <w:rsid w:val="00944056"/>
    <w:rsid w:val="00945C60"/>
    <w:rsid w:val="00946A46"/>
    <w:rsid w:val="0095408A"/>
    <w:rsid w:val="0095482B"/>
    <w:rsid w:val="00956232"/>
    <w:rsid w:val="009615BB"/>
    <w:rsid w:val="009674DD"/>
    <w:rsid w:val="0097266B"/>
    <w:rsid w:val="00972A6D"/>
    <w:rsid w:val="00973F9C"/>
    <w:rsid w:val="0097525B"/>
    <w:rsid w:val="00976AF5"/>
    <w:rsid w:val="0097729F"/>
    <w:rsid w:val="00985BEF"/>
    <w:rsid w:val="0099730F"/>
    <w:rsid w:val="009A0A6A"/>
    <w:rsid w:val="009A4A9C"/>
    <w:rsid w:val="009A6A06"/>
    <w:rsid w:val="009B399F"/>
    <w:rsid w:val="009B3D50"/>
    <w:rsid w:val="009C0023"/>
    <w:rsid w:val="009C2582"/>
    <w:rsid w:val="009C5BFF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223F"/>
    <w:rsid w:val="00A652DA"/>
    <w:rsid w:val="00A74B95"/>
    <w:rsid w:val="00A759F4"/>
    <w:rsid w:val="00A76973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3A4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B02445"/>
    <w:rsid w:val="00B06E76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1482"/>
    <w:rsid w:val="00BF5614"/>
    <w:rsid w:val="00BF63DB"/>
    <w:rsid w:val="00BF7A0E"/>
    <w:rsid w:val="00BF7E71"/>
    <w:rsid w:val="00C01689"/>
    <w:rsid w:val="00C059E9"/>
    <w:rsid w:val="00C05B6F"/>
    <w:rsid w:val="00C10A32"/>
    <w:rsid w:val="00C1400C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26155"/>
    <w:rsid w:val="00D30B2F"/>
    <w:rsid w:val="00D31F67"/>
    <w:rsid w:val="00D37221"/>
    <w:rsid w:val="00D40F23"/>
    <w:rsid w:val="00D41713"/>
    <w:rsid w:val="00D4194E"/>
    <w:rsid w:val="00D42767"/>
    <w:rsid w:val="00D474F1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1E2A"/>
    <w:rsid w:val="00D924B1"/>
    <w:rsid w:val="00D9681D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2EE4"/>
    <w:rsid w:val="00E63603"/>
    <w:rsid w:val="00E65730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5ED2"/>
    <w:rsid w:val="00EF733F"/>
    <w:rsid w:val="00F00EC8"/>
    <w:rsid w:val="00F022B3"/>
    <w:rsid w:val="00F032E1"/>
    <w:rsid w:val="00F04BCD"/>
    <w:rsid w:val="00F06AC0"/>
    <w:rsid w:val="00F21598"/>
    <w:rsid w:val="00F2164C"/>
    <w:rsid w:val="00F24104"/>
    <w:rsid w:val="00F25691"/>
    <w:rsid w:val="00F25F58"/>
    <w:rsid w:val="00F328C0"/>
    <w:rsid w:val="00F33502"/>
    <w:rsid w:val="00F3661B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67B1B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4437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A22CD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27</cp:revision>
  <cp:lastPrinted>2021-12-09T08:46:00Z</cp:lastPrinted>
  <dcterms:created xsi:type="dcterms:W3CDTF">2021-12-08T13:31:00Z</dcterms:created>
  <dcterms:modified xsi:type="dcterms:W3CDTF">2021-12-09T09:05:00Z</dcterms:modified>
</cp:coreProperties>
</file>