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 </w:t>
      </w:r>
      <w:r w:rsidR="00F00EC8">
        <w:rPr>
          <w:b/>
          <w:sz w:val="32"/>
          <w:szCs w:val="32"/>
        </w:rPr>
        <w:t xml:space="preserve">Інформація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F00EC8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січень-</w:t>
      </w:r>
      <w:r w:rsidR="00142C39">
        <w:rPr>
          <w:b/>
          <w:sz w:val="32"/>
          <w:szCs w:val="32"/>
        </w:rPr>
        <w:t>жовтень</w:t>
      </w:r>
      <w:r>
        <w:rPr>
          <w:b/>
          <w:sz w:val="32"/>
          <w:szCs w:val="32"/>
        </w:rPr>
        <w:t xml:space="preserve"> </w:t>
      </w:r>
      <w:r w:rsidRPr="00BD6E05">
        <w:rPr>
          <w:b/>
          <w:sz w:val="32"/>
          <w:szCs w:val="32"/>
        </w:rPr>
        <w:t>2021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032ABA" w:rsidRDefault="00032ABA" w:rsidP="00D40F23">
      <w:pPr>
        <w:tabs>
          <w:tab w:val="left" w:pos="540"/>
          <w:tab w:val="left" w:pos="709"/>
          <w:tab w:val="left" w:pos="900"/>
        </w:tabs>
        <w:ind w:firstLine="851"/>
        <w:jc w:val="both"/>
        <w:rPr>
          <w:sz w:val="28"/>
          <w:szCs w:val="28"/>
        </w:rPr>
      </w:pPr>
    </w:p>
    <w:p w:rsidR="00A76973" w:rsidRPr="00E3071C" w:rsidRDefault="00A76973" w:rsidP="00A7697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E3071C">
        <w:rPr>
          <w:sz w:val="28"/>
          <w:szCs w:val="28"/>
        </w:rPr>
        <w:t>м.Вараші</w:t>
      </w:r>
      <w:proofErr w:type="spellEnd"/>
      <w:r w:rsidRPr="00E3071C">
        <w:rPr>
          <w:sz w:val="28"/>
          <w:szCs w:val="28"/>
        </w:rPr>
        <w:t xml:space="preserve"> про виконання місцевих бюджетів за січень-</w:t>
      </w:r>
      <w:r>
        <w:rPr>
          <w:sz w:val="28"/>
          <w:szCs w:val="28"/>
        </w:rPr>
        <w:t>жовтень</w:t>
      </w:r>
      <w:r w:rsidRPr="00E3071C">
        <w:rPr>
          <w:sz w:val="28"/>
          <w:szCs w:val="28"/>
        </w:rPr>
        <w:t xml:space="preserve"> 2021 року надходження до </w:t>
      </w:r>
      <w:r w:rsidRPr="00E3071C">
        <w:rPr>
          <w:i/>
          <w:sz w:val="28"/>
          <w:szCs w:val="28"/>
        </w:rPr>
        <w:t>загального фонду</w:t>
      </w:r>
      <w:r w:rsidRPr="00E3071C">
        <w:rPr>
          <w:sz w:val="28"/>
          <w:szCs w:val="28"/>
        </w:rPr>
        <w:t xml:space="preserve"> бюджету </w:t>
      </w:r>
      <w:proofErr w:type="spellStart"/>
      <w:r w:rsidRPr="00E3071C">
        <w:rPr>
          <w:sz w:val="28"/>
          <w:szCs w:val="28"/>
        </w:rPr>
        <w:t>Вараської</w:t>
      </w:r>
      <w:proofErr w:type="spellEnd"/>
      <w:r w:rsidRPr="00E3071C">
        <w:rPr>
          <w:sz w:val="28"/>
          <w:szCs w:val="28"/>
        </w:rPr>
        <w:t xml:space="preserve"> міської територіальної громади склали </w:t>
      </w:r>
      <w:r>
        <w:rPr>
          <w:b/>
          <w:sz w:val="28"/>
          <w:szCs w:val="28"/>
        </w:rPr>
        <w:t>653 033,3</w:t>
      </w:r>
      <w:r w:rsidRPr="00E3071C">
        <w:rPr>
          <w:b/>
          <w:sz w:val="28"/>
          <w:szCs w:val="28"/>
          <w:lang w:val="en-US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. </w:t>
      </w:r>
    </w:p>
    <w:p w:rsidR="00A76973" w:rsidRPr="00E3071C" w:rsidRDefault="00A76973" w:rsidP="00A7697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i/>
          <w:sz w:val="28"/>
          <w:szCs w:val="28"/>
        </w:rPr>
        <w:t xml:space="preserve">Доходи загального фонду </w:t>
      </w:r>
      <w:r w:rsidRPr="00E3071C">
        <w:rPr>
          <w:sz w:val="28"/>
          <w:szCs w:val="28"/>
        </w:rPr>
        <w:t xml:space="preserve">бюджету (без урахування офіційних трансфертів) склали </w:t>
      </w:r>
      <w:r>
        <w:rPr>
          <w:b/>
          <w:sz w:val="28"/>
          <w:szCs w:val="28"/>
          <w:lang w:val="ru-RU"/>
        </w:rPr>
        <w:t>522 926,0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101,6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до планових надходжень (</w:t>
      </w:r>
      <w:r w:rsidRPr="00102258">
        <w:rPr>
          <w:b/>
          <w:sz w:val="28"/>
          <w:szCs w:val="28"/>
          <w:lang w:val="ru-RU"/>
        </w:rPr>
        <w:t>+8 219,7</w:t>
      </w:r>
      <w:r w:rsidRPr="00102258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та </w:t>
      </w:r>
      <w:r>
        <w:rPr>
          <w:b/>
          <w:sz w:val="28"/>
          <w:szCs w:val="28"/>
        </w:rPr>
        <w:t>124,6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(+</w:t>
      </w:r>
      <w:r>
        <w:rPr>
          <w:b/>
          <w:sz w:val="28"/>
          <w:szCs w:val="28"/>
        </w:rPr>
        <w:t>103 080,5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 до показника відповідного періоду 2020 року.</w:t>
      </w:r>
    </w:p>
    <w:p w:rsidR="00A76973" w:rsidRPr="00E3071C" w:rsidRDefault="00A76973" w:rsidP="00A7697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Основними </w:t>
      </w:r>
      <w:proofErr w:type="spellStart"/>
      <w:r w:rsidRPr="00E3071C">
        <w:rPr>
          <w:sz w:val="28"/>
          <w:szCs w:val="28"/>
        </w:rPr>
        <w:t>бюджетоформуючими</w:t>
      </w:r>
      <w:proofErr w:type="spellEnd"/>
      <w:r w:rsidRPr="00E3071C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 xml:space="preserve"> місцеві податки і збори.</w:t>
      </w:r>
    </w:p>
    <w:p w:rsidR="00A76973" w:rsidRPr="00E3071C" w:rsidRDefault="00A76973" w:rsidP="00A7697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В структурі власних доходів загального фонду бюджету податок та збір на доходи фізичних осіб</w:t>
      </w:r>
      <w:r w:rsidRPr="00E3071C">
        <w:rPr>
          <w:b/>
          <w:sz w:val="28"/>
          <w:szCs w:val="28"/>
        </w:rPr>
        <w:t xml:space="preserve">  </w:t>
      </w:r>
      <w:r w:rsidRPr="00E3071C">
        <w:rPr>
          <w:sz w:val="28"/>
          <w:szCs w:val="28"/>
        </w:rPr>
        <w:t>займає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84,5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 його надходження склали </w:t>
      </w:r>
      <w:r>
        <w:rPr>
          <w:b/>
          <w:sz w:val="28"/>
          <w:szCs w:val="28"/>
        </w:rPr>
        <w:t>442 031,4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88 394,9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,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або на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25,0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 проти надходжень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за відповідний період минулого року.</w:t>
      </w:r>
    </w:p>
    <w:p w:rsidR="00A76973" w:rsidRPr="00E3071C" w:rsidRDefault="00A76973" w:rsidP="00A7697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Частка місцевих податків і зборів у структурі власних доходів загального фонду бюджету складає </w:t>
      </w:r>
      <w:r w:rsidRPr="00E3071C">
        <w:rPr>
          <w:b/>
          <w:sz w:val="28"/>
          <w:szCs w:val="28"/>
        </w:rPr>
        <w:t>11,</w:t>
      </w:r>
      <w:r>
        <w:rPr>
          <w:b/>
          <w:sz w:val="28"/>
          <w:szCs w:val="28"/>
        </w:rPr>
        <w:t>5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. Фактичні їх надходження склали </w:t>
      </w:r>
      <w:r>
        <w:rPr>
          <w:b/>
          <w:sz w:val="28"/>
          <w:szCs w:val="28"/>
        </w:rPr>
        <w:t>60 160,8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9 448,0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18,6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проти таких надходжень за відповідний період минулого року.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   </w:t>
      </w:r>
    </w:p>
    <w:p w:rsidR="00A76973" w:rsidRPr="00E3071C" w:rsidRDefault="00A76973" w:rsidP="00A7697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Найбільша питома вага в структурі надходжень місцевих податків і зборів припадає на:</w:t>
      </w:r>
    </w:p>
    <w:p w:rsidR="00A76973" w:rsidRPr="00E3071C" w:rsidRDefault="00A76973" w:rsidP="00A7697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плату за землю -  </w:t>
      </w:r>
      <w:r>
        <w:rPr>
          <w:b/>
          <w:sz w:val="28"/>
          <w:szCs w:val="28"/>
        </w:rPr>
        <w:t>56,6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34 023,1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плати за землю проти відповідного періоду 2020 року склав </w:t>
      </w:r>
      <w:r>
        <w:rPr>
          <w:b/>
          <w:sz w:val="28"/>
          <w:szCs w:val="28"/>
        </w:rPr>
        <w:t>18,4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5 276,9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); </w:t>
      </w:r>
    </w:p>
    <w:p w:rsidR="00A76973" w:rsidRPr="00E3071C" w:rsidRDefault="00A76973" w:rsidP="00A7697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єдиний податок  - </w:t>
      </w:r>
      <w:r>
        <w:rPr>
          <w:b/>
          <w:sz w:val="28"/>
          <w:szCs w:val="28"/>
        </w:rPr>
        <w:t>33,8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20 337,3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єдиного податку проти відповідного періоду 2020 року склав </w:t>
      </w:r>
      <w:r w:rsidRPr="00E307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E3071C">
        <w:rPr>
          <w:b/>
          <w:sz w:val="28"/>
          <w:szCs w:val="28"/>
        </w:rPr>
        <w:t>,9%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5 480,8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</w:t>
      </w:r>
      <w:r w:rsidRPr="00E3071C">
        <w:rPr>
          <w:b/>
          <w:sz w:val="28"/>
          <w:szCs w:val="28"/>
        </w:rPr>
        <w:t xml:space="preserve"> </w:t>
      </w:r>
    </w:p>
    <w:p w:rsidR="00A76973" w:rsidRPr="00E3071C" w:rsidRDefault="00A76973" w:rsidP="00A76973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Надходження акцизного податку </w:t>
      </w:r>
      <w:r>
        <w:rPr>
          <w:sz w:val="28"/>
          <w:szCs w:val="28"/>
        </w:rPr>
        <w:t>та</w:t>
      </w:r>
      <w:r w:rsidRPr="00E3071C">
        <w:rPr>
          <w:sz w:val="28"/>
          <w:szCs w:val="28"/>
        </w:rPr>
        <w:t xml:space="preserve"> рентної плати за використання інших природних ресурсів склали </w:t>
      </w:r>
      <w:r w:rsidRPr="00E3071C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8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14 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79,9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 і  </w:t>
      </w:r>
      <w:r w:rsidRPr="00E3071C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 w:rsidRPr="00E307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587,4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від обсягу власних доходів загального фонду бюджету відповідно.  </w:t>
      </w:r>
    </w:p>
    <w:p w:rsidR="00A76973" w:rsidRPr="00CA49AE" w:rsidRDefault="00A76973" w:rsidP="00A76973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>
        <w:rPr>
          <w:sz w:val="28"/>
          <w:szCs w:val="28"/>
          <w:lang w:val="ru-RU"/>
        </w:rPr>
        <w:t xml:space="preserve">        </w:t>
      </w:r>
      <w:r w:rsidRPr="00E3071C">
        <w:rPr>
          <w:sz w:val="28"/>
          <w:szCs w:val="28"/>
        </w:rPr>
        <w:t xml:space="preserve">Офіційні трансферти до загального фонду бюджету склали  </w:t>
      </w:r>
      <w:r>
        <w:rPr>
          <w:b/>
          <w:sz w:val="28"/>
          <w:szCs w:val="28"/>
          <w:lang w:val="ru-RU"/>
        </w:rPr>
        <w:t>130 107,3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 xml:space="preserve">, </w:t>
      </w:r>
      <w:r>
        <w:rPr>
          <w:rFonts w:ascii="Times New Roman CYR" w:hAnsi="Times New Roman CYR"/>
          <w:bCs/>
          <w:sz w:val="28"/>
          <w:szCs w:val="20"/>
          <w:lang w:eastAsia="ru-RU"/>
        </w:rPr>
        <w:t xml:space="preserve">що складає </w:t>
      </w:r>
      <w:r w:rsidRPr="00CA49AE">
        <w:rPr>
          <w:rFonts w:ascii="Times New Roman CYR" w:hAnsi="Times New Roman CYR"/>
          <w:bCs/>
          <w:sz w:val="28"/>
          <w:szCs w:val="20"/>
          <w:lang w:eastAsia="ru-RU"/>
        </w:rPr>
        <w:t>100,0</w:t>
      </w:r>
      <w:r>
        <w:rPr>
          <w:rFonts w:ascii="Times New Roman CYR" w:hAnsi="Times New Roman CYR"/>
          <w:bCs/>
          <w:sz w:val="28"/>
          <w:szCs w:val="20"/>
          <w:lang w:eastAsia="ru-RU"/>
        </w:rPr>
        <w:t>%</w:t>
      </w:r>
      <w:r w:rsidRPr="00CA49AE">
        <w:rPr>
          <w:rFonts w:ascii="Times New Roman CYR" w:hAnsi="Times New Roman CYR"/>
          <w:bCs/>
          <w:sz w:val="28"/>
          <w:szCs w:val="20"/>
          <w:lang w:eastAsia="ru-RU"/>
        </w:rPr>
        <w:t xml:space="preserve"> від передбачених розписом доходів бюджету на звітний період.</w:t>
      </w:r>
    </w:p>
    <w:p w:rsidR="00A76973" w:rsidRPr="00436A17" w:rsidRDefault="00A76973" w:rsidP="00A76973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>До</w:t>
      </w:r>
      <w:r>
        <w:rPr>
          <w:sz w:val="28"/>
          <w:szCs w:val="28"/>
        </w:rPr>
        <w:t>ходи</w:t>
      </w:r>
      <w:r w:rsidRPr="00E3071C">
        <w:rPr>
          <w:sz w:val="28"/>
          <w:szCs w:val="28"/>
        </w:rPr>
        <w:t xml:space="preserve"> </w:t>
      </w:r>
      <w:r w:rsidRPr="00E3071C">
        <w:rPr>
          <w:i/>
          <w:sz w:val="28"/>
          <w:szCs w:val="28"/>
        </w:rPr>
        <w:t xml:space="preserve">спеціального фонду </w:t>
      </w:r>
      <w:r w:rsidRPr="00E3071C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склали</w:t>
      </w:r>
      <w:r w:rsidRPr="00E3071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57 712,9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з яких </w:t>
      </w:r>
      <w:r>
        <w:rPr>
          <w:b/>
          <w:sz w:val="28"/>
          <w:szCs w:val="28"/>
        </w:rPr>
        <w:t>56 707,0</w:t>
      </w:r>
      <w:r w:rsidRPr="00E3071C">
        <w:rPr>
          <w:b/>
          <w:sz w:val="28"/>
          <w:szCs w:val="28"/>
        </w:rPr>
        <w:t> тис. грн</w:t>
      </w:r>
      <w:r w:rsidRPr="00E3071C">
        <w:rPr>
          <w:sz w:val="28"/>
          <w:szCs w:val="28"/>
        </w:rPr>
        <w:t xml:space="preserve">, або </w:t>
      </w:r>
      <w:r w:rsidRPr="00E3071C">
        <w:rPr>
          <w:b/>
          <w:sz w:val="28"/>
          <w:szCs w:val="28"/>
        </w:rPr>
        <w:t>98,</w:t>
      </w:r>
      <w:r>
        <w:rPr>
          <w:b/>
          <w:sz w:val="28"/>
          <w:szCs w:val="28"/>
        </w:rPr>
        <w:t>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складають власні надходження бюджетних установ і  </w:t>
      </w:r>
      <w:r>
        <w:rPr>
          <w:b/>
          <w:sz w:val="28"/>
          <w:szCs w:val="28"/>
        </w:rPr>
        <w:t>669,9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</w:t>
      </w:r>
      <w:r w:rsidRPr="00E3071C">
        <w:rPr>
          <w:b/>
          <w:sz w:val="28"/>
          <w:szCs w:val="28"/>
        </w:rPr>
        <w:t>1,</w:t>
      </w:r>
      <w:r>
        <w:rPr>
          <w:b/>
          <w:sz w:val="28"/>
          <w:szCs w:val="28"/>
        </w:rPr>
        <w:t>2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</w:t>
      </w:r>
      <w:r w:rsidRPr="00436A17">
        <w:rPr>
          <w:sz w:val="28"/>
          <w:szCs w:val="28"/>
          <w:lang w:eastAsia="ru-RU"/>
        </w:rPr>
        <w:t>–</w:t>
      </w:r>
      <w:r w:rsidRPr="00E3071C">
        <w:rPr>
          <w:sz w:val="28"/>
          <w:szCs w:val="28"/>
        </w:rPr>
        <w:t xml:space="preserve"> </w:t>
      </w:r>
      <w:r w:rsidRPr="002E3CB3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бюджету розвитку, де </w:t>
      </w:r>
      <w:r w:rsidRPr="00E44EB8">
        <w:rPr>
          <w:b/>
          <w:sz w:val="28"/>
          <w:szCs w:val="28"/>
        </w:rPr>
        <w:t xml:space="preserve">667,5 </w:t>
      </w:r>
      <w:proofErr w:type="spellStart"/>
      <w:r w:rsidRPr="00E44EB8">
        <w:rPr>
          <w:b/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 </w:t>
      </w:r>
      <w:r w:rsidRPr="00436A17">
        <w:rPr>
          <w:sz w:val="28"/>
          <w:szCs w:val="28"/>
          <w:lang w:eastAsia="ru-RU"/>
        </w:rPr>
        <w:t>–</w:t>
      </w:r>
      <w:r w:rsidRPr="00E3071C">
        <w:rPr>
          <w:sz w:val="28"/>
          <w:szCs w:val="28"/>
        </w:rPr>
        <w:t xml:space="preserve"> </w:t>
      </w:r>
      <w:r w:rsidRPr="00436A17">
        <w:rPr>
          <w:sz w:val="28"/>
          <w:szCs w:val="28"/>
          <w:lang w:eastAsia="ru-RU"/>
        </w:rPr>
        <w:t xml:space="preserve">кошти від продажу землі </w:t>
      </w:r>
      <w:r>
        <w:rPr>
          <w:sz w:val="28"/>
          <w:szCs w:val="28"/>
          <w:lang w:eastAsia="ru-RU"/>
        </w:rPr>
        <w:t xml:space="preserve">та  </w:t>
      </w:r>
      <w:r w:rsidRPr="00E44EB8">
        <w:rPr>
          <w:b/>
          <w:sz w:val="28"/>
          <w:szCs w:val="28"/>
          <w:lang w:eastAsia="ru-RU"/>
        </w:rPr>
        <w:t xml:space="preserve">2,4 </w:t>
      </w:r>
      <w:proofErr w:type="spellStart"/>
      <w:r w:rsidRPr="00E44EB8">
        <w:rPr>
          <w:b/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436A17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436A17">
        <w:rPr>
          <w:sz w:val="28"/>
          <w:szCs w:val="28"/>
          <w:lang w:eastAsia="ru-RU"/>
        </w:rPr>
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</w:t>
      </w:r>
      <w:r>
        <w:rPr>
          <w:sz w:val="28"/>
          <w:szCs w:val="28"/>
          <w:lang w:eastAsia="ru-RU"/>
        </w:rPr>
        <w:t>конструкцію) та придбання житла</w:t>
      </w:r>
      <w:r w:rsidRPr="00436A17">
        <w:rPr>
          <w:sz w:val="28"/>
          <w:szCs w:val="28"/>
          <w:lang w:eastAsia="ru-RU"/>
        </w:rPr>
        <w:t>.</w:t>
      </w:r>
    </w:p>
    <w:p w:rsidR="00A76973" w:rsidRPr="007D7D2B" w:rsidRDefault="00A76973" w:rsidP="00A76973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 xml:space="preserve">В цілому доходи бюджету </w:t>
      </w:r>
      <w:r>
        <w:rPr>
          <w:sz w:val="28"/>
          <w:szCs w:val="28"/>
        </w:rPr>
        <w:t xml:space="preserve">міської територіальної громади </w:t>
      </w:r>
      <w:r w:rsidRPr="00E3071C">
        <w:rPr>
          <w:sz w:val="28"/>
          <w:szCs w:val="28"/>
        </w:rPr>
        <w:t>станом на 01.</w:t>
      </w:r>
      <w:r>
        <w:rPr>
          <w:sz w:val="28"/>
          <w:szCs w:val="28"/>
        </w:rPr>
        <w:t>11</w:t>
      </w:r>
      <w:r w:rsidRPr="00E3071C">
        <w:rPr>
          <w:sz w:val="28"/>
          <w:szCs w:val="28"/>
        </w:rPr>
        <w:t>.2021</w:t>
      </w:r>
      <w:r w:rsidRPr="00AE5944">
        <w:rPr>
          <w:sz w:val="28"/>
          <w:szCs w:val="28"/>
          <w:lang w:val="ru-RU"/>
        </w:rPr>
        <w:t xml:space="preserve"> </w:t>
      </w:r>
      <w:r w:rsidRPr="00E3071C">
        <w:rPr>
          <w:sz w:val="28"/>
          <w:szCs w:val="28"/>
        </w:rPr>
        <w:t xml:space="preserve">склали </w:t>
      </w:r>
      <w:r>
        <w:rPr>
          <w:b/>
          <w:sz w:val="28"/>
          <w:szCs w:val="28"/>
          <w:lang w:val="ru-RU"/>
        </w:rPr>
        <w:t>710 746,2</w:t>
      </w:r>
      <w:r w:rsidRPr="00E3071C">
        <w:rPr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60 665,3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9,3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184 780,8</w:t>
      </w:r>
      <w:r w:rsidRPr="00E3071C">
        <w:rPr>
          <w:b/>
          <w:sz w:val="28"/>
          <w:szCs w:val="28"/>
          <w:lang w:val="ru-RU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35,1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>, більше аналогічного показника за відповідний період минулого року.</w:t>
      </w:r>
      <w:r w:rsidRPr="007D7D2B">
        <w:rPr>
          <w:sz w:val="28"/>
          <w:szCs w:val="28"/>
          <w:lang w:eastAsia="ru-RU"/>
        </w:rPr>
        <w:t xml:space="preserve"> </w:t>
      </w:r>
    </w:p>
    <w:p w:rsidR="00A76973" w:rsidRPr="00C8607D" w:rsidRDefault="00A76973" w:rsidP="00A7697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7C05DF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Станом на 01.</w:t>
      </w:r>
      <w:r w:rsidR="00945C60">
        <w:rPr>
          <w:szCs w:val="28"/>
        </w:rPr>
        <w:t>1</w:t>
      </w:r>
      <w:r w:rsidR="00BF63DB">
        <w:rPr>
          <w:szCs w:val="28"/>
        </w:rPr>
        <w:t>1</w:t>
      </w:r>
      <w:r>
        <w:rPr>
          <w:szCs w:val="28"/>
        </w:rPr>
        <w:t xml:space="preserve">.2021 </w:t>
      </w:r>
      <w:r w:rsidRPr="00A42B69">
        <w:rPr>
          <w:szCs w:val="28"/>
        </w:rPr>
        <w:t xml:space="preserve">року виконання бюджету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територіальної громади</w:t>
      </w:r>
      <w:r w:rsidRPr="00A42B69">
        <w:rPr>
          <w:szCs w:val="28"/>
        </w:rPr>
        <w:t xml:space="preserve"> </w:t>
      </w:r>
      <w:r w:rsidRPr="002F4574">
        <w:rPr>
          <w:b/>
          <w:szCs w:val="28"/>
          <w:u w:val="single"/>
        </w:rPr>
        <w:t>по видатках та кредитуванню</w:t>
      </w:r>
      <w:r w:rsidRPr="00A42B69">
        <w:rPr>
          <w:szCs w:val="28"/>
        </w:rPr>
        <w:t xml:space="preserve"> </w:t>
      </w:r>
      <w:r w:rsidRPr="00C01689">
        <w:rPr>
          <w:szCs w:val="28"/>
        </w:rPr>
        <w:t xml:space="preserve">становить </w:t>
      </w:r>
      <w:r w:rsidR="00945C60">
        <w:rPr>
          <w:b/>
          <w:szCs w:val="28"/>
          <w:lang w:val="ru-RU"/>
        </w:rPr>
        <w:t>8</w:t>
      </w:r>
      <w:r w:rsidR="009674DD">
        <w:rPr>
          <w:b/>
          <w:szCs w:val="28"/>
          <w:lang w:val="ru-RU"/>
        </w:rPr>
        <w:t>9</w:t>
      </w:r>
      <w:r w:rsidR="00945C60">
        <w:rPr>
          <w:b/>
          <w:szCs w:val="28"/>
          <w:lang w:val="ru-RU"/>
        </w:rPr>
        <w:t>,</w:t>
      </w:r>
      <w:r w:rsidR="009674DD">
        <w:rPr>
          <w:b/>
          <w:szCs w:val="28"/>
          <w:lang w:val="ru-RU"/>
        </w:rPr>
        <w:t>9</w:t>
      </w:r>
      <w:r>
        <w:rPr>
          <w:szCs w:val="28"/>
        </w:rPr>
        <w:t>% до уточненого плану, у</w:t>
      </w:r>
      <w:r w:rsidRPr="00C01689">
        <w:rPr>
          <w:szCs w:val="28"/>
        </w:rPr>
        <w:t xml:space="preserve"> тому числі: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 фонду</w:t>
      </w:r>
      <w:r w:rsidRPr="00C01689">
        <w:rPr>
          <w:szCs w:val="28"/>
        </w:rPr>
        <w:t xml:space="preserve"> – </w:t>
      </w:r>
      <w:r w:rsidR="009674DD">
        <w:rPr>
          <w:b/>
          <w:szCs w:val="28"/>
          <w:lang w:val="ru-RU"/>
        </w:rPr>
        <w:t>92,4</w:t>
      </w:r>
      <w:r w:rsidRPr="00C01689">
        <w:rPr>
          <w:szCs w:val="28"/>
        </w:rPr>
        <w:t xml:space="preserve">%,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 фонду</w:t>
      </w:r>
      <w:r w:rsidRPr="002F4574">
        <w:rPr>
          <w:b/>
          <w:szCs w:val="28"/>
        </w:rPr>
        <w:t xml:space="preserve"> </w:t>
      </w:r>
      <w:r w:rsidRPr="00C01689">
        <w:rPr>
          <w:szCs w:val="28"/>
        </w:rPr>
        <w:t xml:space="preserve">– </w:t>
      </w:r>
      <w:r w:rsidR="009674DD">
        <w:rPr>
          <w:b/>
          <w:szCs w:val="28"/>
        </w:rPr>
        <w:t>78,5</w:t>
      </w:r>
      <w:r w:rsidRPr="00C01689">
        <w:rPr>
          <w:szCs w:val="28"/>
        </w:rPr>
        <w:t xml:space="preserve">%.  Тобто, при уточненому плані </w:t>
      </w:r>
      <w:r>
        <w:rPr>
          <w:szCs w:val="28"/>
        </w:rPr>
        <w:t>на січень-</w:t>
      </w:r>
      <w:r w:rsidR="009674DD">
        <w:rPr>
          <w:szCs w:val="28"/>
        </w:rPr>
        <w:t>жовтень</w:t>
      </w:r>
      <w:r>
        <w:rPr>
          <w:szCs w:val="28"/>
        </w:rPr>
        <w:t xml:space="preserve"> </w:t>
      </w:r>
      <w:r w:rsidRPr="00C01689">
        <w:rPr>
          <w:szCs w:val="28"/>
        </w:rPr>
        <w:t>20</w:t>
      </w:r>
      <w:r>
        <w:rPr>
          <w:szCs w:val="28"/>
        </w:rPr>
        <w:t>21</w:t>
      </w:r>
      <w:r w:rsidRPr="00C01689">
        <w:rPr>
          <w:szCs w:val="28"/>
        </w:rPr>
        <w:t xml:space="preserve"> р</w:t>
      </w:r>
      <w:r>
        <w:rPr>
          <w:szCs w:val="28"/>
        </w:rPr>
        <w:t>о</w:t>
      </w:r>
      <w:r w:rsidRPr="00C01689">
        <w:rPr>
          <w:szCs w:val="28"/>
        </w:rPr>
        <w:t>к</w:t>
      </w:r>
      <w:r>
        <w:rPr>
          <w:szCs w:val="28"/>
        </w:rPr>
        <w:t>у</w:t>
      </w:r>
      <w:r w:rsidRPr="00C01689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9674DD">
        <w:rPr>
          <w:b/>
          <w:szCs w:val="28"/>
        </w:rPr>
        <w:lastRenderedPageBreak/>
        <w:t>746 486,8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9674DD">
        <w:rPr>
          <w:b/>
          <w:szCs w:val="28"/>
        </w:rPr>
        <w:t>671 055,2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у тому числі по видатках </w:t>
      </w:r>
      <w:r w:rsidR="009674DD">
        <w:rPr>
          <w:b/>
          <w:szCs w:val="28"/>
        </w:rPr>
        <w:t>671 115,7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,</w:t>
      </w:r>
      <w:r w:rsidRPr="00C01689">
        <w:rPr>
          <w:szCs w:val="28"/>
        </w:rPr>
        <w:t xml:space="preserve"> по кредитуванню</w:t>
      </w:r>
      <w:r>
        <w:rPr>
          <w:szCs w:val="28"/>
        </w:rPr>
        <w:t xml:space="preserve"> повернуто </w:t>
      </w:r>
      <w:r w:rsidRPr="00E94300">
        <w:rPr>
          <w:szCs w:val="28"/>
        </w:rPr>
        <w:t>”-”</w:t>
      </w:r>
      <w:r>
        <w:rPr>
          <w:szCs w:val="28"/>
          <w:lang w:val="ru-RU"/>
        </w:rPr>
        <w:t xml:space="preserve"> </w:t>
      </w:r>
      <w:r w:rsidR="001F0343">
        <w:rPr>
          <w:b/>
          <w:szCs w:val="28"/>
        </w:rPr>
        <w:t>60,5</w:t>
      </w:r>
      <w:r>
        <w:rPr>
          <w:b/>
          <w:szCs w:val="28"/>
        </w:rPr>
        <w:t> </w:t>
      </w:r>
      <w:proofErr w:type="spellStart"/>
      <w:r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. Обсяг видатків збільшився у порівнянні з аналогічним періодом минулого року на </w:t>
      </w:r>
      <w:r w:rsidR="00A6223F">
        <w:rPr>
          <w:b/>
          <w:szCs w:val="28"/>
        </w:rPr>
        <w:t>163 802,1</w:t>
      </w:r>
      <w:r w:rsidRPr="00DD6F79">
        <w:rPr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A6223F">
        <w:rPr>
          <w:b/>
          <w:szCs w:val="28"/>
        </w:rPr>
        <w:t>32,3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%.</w:t>
      </w:r>
    </w:p>
    <w:p w:rsidR="007C05DF" w:rsidRPr="00C01689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2C27F3">
        <w:rPr>
          <w:b/>
          <w:szCs w:val="28"/>
        </w:rPr>
        <w:t>613 401,5</w:t>
      </w:r>
      <w:r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2C27F3">
        <w:rPr>
          <w:b/>
          <w:szCs w:val="28"/>
        </w:rPr>
        <w:t>566 593,0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, що </w:t>
      </w:r>
      <w:r w:rsidRPr="00DD6F79">
        <w:rPr>
          <w:szCs w:val="28"/>
        </w:rPr>
        <w:t xml:space="preserve">на </w:t>
      </w:r>
      <w:r w:rsidR="002C27F3">
        <w:rPr>
          <w:b/>
          <w:szCs w:val="28"/>
        </w:rPr>
        <w:t>151 132,5</w:t>
      </w:r>
      <w:r w:rsidRPr="00DD6F79">
        <w:rPr>
          <w:b/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976AF5">
        <w:rPr>
          <w:b/>
          <w:szCs w:val="28"/>
        </w:rPr>
        <w:t>36,4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 більше рівня минулого року.</w:t>
      </w:r>
    </w:p>
    <w:p w:rsidR="007C05DF" w:rsidRPr="00F25F58" w:rsidRDefault="007C05DF" w:rsidP="007C05D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2C27F3">
        <w:rPr>
          <w:b/>
          <w:szCs w:val="28"/>
        </w:rPr>
        <w:t>133 085,3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виконано</w:t>
      </w:r>
      <w:r>
        <w:rPr>
          <w:szCs w:val="28"/>
        </w:rPr>
        <w:t xml:space="preserve"> </w:t>
      </w:r>
      <w:r w:rsidR="002C27F3">
        <w:rPr>
          <w:b/>
          <w:szCs w:val="28"/>
        </w:rPr>
        <w:t>104 462,2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2C27F3">
        <w:rPr>
          <w:b/>
          <w:szCs w:val="28"/>
        </w:rPr>
        <w:t>104 522,7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4A5080">
        <w:rPr>
          <w:b/>
          <w:szCs w:val="28"/>
        </w:rPr>
        <w:t>60,5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. У порівнянні з аналогічним періодом минулого року обсяг видатків зріс на </w:t>
      </w:r>
      <w:r w:rsidR="002C27F3">
        <w:rPr>
          <w:b/>
          <w:szCs w:val="28"/>
        </w:rPr>
        <w:t>12 609,1</w:t>
      </w:r>
      <w:r w:rsidRPr="009E0CFE">
        <w:rPr>
          <w:b/>
          <w:szCs w:val="28"/>
        </w:rPr>
        <w:t xml:space="preserve"> </w:t>
      </w:r>
      <w:proofErr w:type="spellStart"/>
      <w:r w:rsidRPr="009E0CFE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 або </w:t>
      </w:r>
      <w:r w:rsidR="00FD4437">
        <w:rPr>
          <w:szCs w:val="28"/>
        </w:rPr>
        <w:t xml:space="preserve">на </w:t>
      </w:r>
      <w:r w:rsidR="002C27F3">
        <w:rPr>
          <w:b/>
          <w:szCs w:val="28"/>
        </w:rPr>
        <w:t>13,7</w:t>
      </w:r>
      <w:r w:rsidRPr="009E0CFE">
        <w:rPr>
          <w:szCs w:val="28"/>
        </w:rPr>
        <w:t xml:space="preserve"> %.</w:t>
      </w:r>
    </w:p>
    <w:p w:rsidR="007C05DF" w:rsidRDefault="007C05DF" w:rsidP="007C05DF">
      <w:pPr>
        <w:ind w:firstLine="567"/>
        <w:jc w:val="both"/>
        <w:rPr>
          <w:b/>
          <w:sz w:val="27"/>
          <w:szCs w:val="27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Pr="00A42B69">
        <w:rPr>
          <w:szCs w:val="28"/>
        </w:rPr>
        <w:t>ачальник фінансо</w:t>
      </w:r>
      <w:r>
        <w:rPr>
          <w:szCs w:val="28"/>
        </w:rPr>
        <w:t>вого управління                                          Валентина ТАЦЮК</w:t>
      </w:r>
    </w:p>
    <w:p w:rsidR="009D6195" w:rsidRDefault="009D6195" w:rsidP="009D6195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</w:p>
    <w:p w:rsidR="009D6195" w:rsidRPr="00A30E24" w:rsidRDefault="00D474F1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Олена Хандучка</w:t>
      </w:r>
      <w:r w:rsidR="009D6195">
        <w:rPr>
          <w:sz w:val="20"/>
        </w:rPr>
        <w:t xml:space="preserve"> </w:t>
      </w:r>
      <w:r w:rsidR="009D6195" w:rsidRPr="00A30E24">
        <w:rPr>
          <w:sz w:val="20"/>
        </w:rPr>
        <w:t>2-43-83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bookmarkStart w:id="0" w:name="_GoBack"/>
      <w:bookmarkEnd w:id="0"/>
      <w:r>
        <w:rPr>
          <w:sz w:val="20"/>
        </w:rPr>
        <w:t xml:space="preserve">Ірина Павельчук </w:t>
      </w:r>
      <w:r w:rsidRPr="00A30E24">
        <w:rPr>
          <w:sz w:val="20"/>
        </w:rPr>
        <w:t xml:space="preserve">3-12-38 </w:t>
      </w:r>
    </w:p>
    <w:p w:rsidR="009D6195" w:rsidRDefault="009D6195" w:rsidP="009D6195">
      <w:pPr>
        <w:pStyle w:val="a3"/>
        <w:tabs>
          <w:tab w:val="left" w:pos="567"/>
        </w:tabs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AD756B">
      <w:pgSz w:w="11906" w:h="16838"/>
      <w:pgMar w:top="720" w:right="567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ABA"/>
    <w:rsid w:val="0003432C"/>
    <w:rsid w:val="00037622"/>
    <w:rsid w:val="00040864"/>
    <w:rsid w:val="000412D9"/>
    <w:rsid w:val="00041BBB"/>
    <w:rsid w:val="000440E8"/>
    <w:rsid w:val="00050E0C"/>
    <w:rsid w:val="00054B50"/>
    <w:rsid w:val="00056524"/>
    <w:rsid w:val="00057BD5"/>
    <w:rsid w:val="00060109"/>
    <w:rsid w:val="00066BDB"/>
    <w:rsid w:val="000672BE"/>
    <w:rsid w:val="00067889"/>
    <w:rsid w:val="00070124"/>
    <w:rsid w:val="00070327"/>
    <w:rsid w:val="0007506F"/>
    <w:rsid w:val="000819A4"/>
    <w:rsid w:val="000836D1"/>
    <w:rsid w:val="000867E7"/>
    <w:rsid w:val="0009674A"/>
    <w:rsid w:val="00096B9C"/>
    <w:rsid w:val="0009778D"/>
    <w:rsid w:val="000A1292"/>
    <w:rsid w:val="000A6A11"/>
    <w:rsid w:val="000B2730"/>
    <w:rsid w:val="000B56DD"/>
    <w:rsid w:val="000B58D7"/>
    <w:rsid w:val="000B642B"/>
    <w:rsid w:val="000B66B4"/>
    <w:rsid w:val="000C3E8A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40075"/>
    <w:rsid w:val="00140AD3"/>
    <w:rsid w:val="00142C39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0343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27F3"/>
    <w:rsid w:val="002C726B"/>
    <w:rsid w:val="002D1F23"/>
    <w:rsid w:val="002D4C8A"/>
    <w:rsid w:val="002E1C59"/>
    <w:rsid w:val="002E4E06"/>
    <w:rsid w:val="002F0219"/>
    <w:rsid w:val="002F0BC4"/>
    <w:rsid w:val="002F457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6AA1"/>
    <w:rsid w:val="00316ADF"/>
    <w:rsid w:val="00321763"/>
    <w:rsid w:val="0032368D"/>
    <w:rsid w:val="00323856"/>
    <w:rsid w:val="003330F3"/>
    <w:rsid w:val="00334280"/>
    <w:rsid w:val="00341250"/>
    <w:rsid w:val="00344121"/>
    <w:rsid w:val="00350C01"/>
    <w:rsid w:val="00351292"/>
    <w:rsid w:val="003543A4"/>
    <w:rsid w:val="00355C4A"/>
    <w:rsid w:val="003659CF"/>
    <w:rsid w:val="00365F3A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2E3A"/>
    <w:rsid w:val="003A4A7E"/>
    <w:rsid w:val="003B04B5"/>
    <w:rsid w:val="003B29BD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42455"/>
    <w:rsid w:val="004517B0"/>
    <w:rsid w:val="00473517"/>
    <w:rsid w:val="004769B0"/>
    <w:rsid w:val="004769BD"/>
    <w:rsid w:val="004806C2"/>
    <w:rsid w:val="00486B51"/>
    <w:rsid w:val="004971D6"/>
    <w:rsid w:val="004A5080"/>
    <w:rsid w:val="004A679D"/>
    <w:rsid w:val="004B1D0F"/>
    <w:rsid w:val="004B3C45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E620D"/>
    <w:rsid w:val="004E7E58"/>
    <w:rsid w:val="004F0E0E"/>
    <w:rsid w:val="004F3156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52AD"/>
    <w:rsid w:val="00516F3A"/>
    <w:rsid w:val="00524426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E2EC6"/>
    <w:rsid w:val="005E4DE3"/>
    <w:rsid w:val="005F1890"/>
    <w:rsid w:val="005F3C6B"/>
    <w:rsid w:val="005F463A"/>
    <w:rsid w:val="00600CFD"/>
    <w:rsid w:val="006018F6"/>
    <w:rsid w:val="006021B1"/>
    <w:rsid w:val="0060354D"/>
    <w:rsid w:val="0060460B"/>
    <w:rsid w:val="0060645F"/>
    <w:rsid w:val="00610EB1"/>
    <w:rsid w:val="00611824"/>
    <w:rsid w:val="00612293"/>
    <w:rsid w:val="00612EB5"/>
    <w:rsid w:val="00616EE9"/>
    <w:rsid w:val="00627DBF"/>
    <w:rsid w:val="006317D4"/>
    <w:rsid w:val="0063719D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30B2"/>
    <w:rsid w:val="00685B40"/>
    <w:rsid w:val="00685DA4"/>
    <w:rsid w:val="00690443"/>
    <w:rsid w:val="00691819"/>
    <w:rsid w:val="00694564"/>
    <w:rsid w:val="006B02B5"/>
    <w:rsid w:val="006B17AF"/>
    <w:rsid w:val="006B5A20"/>
    <w:rsid w:val="006B75BC"/>
    <w:rsid w:val="006C0985"/>
    <w:rsid w:val="006C1DCB"/>
    <w:rsid w:val="006C57C7"/>
    <w:rsid w:val="006D1488"/>
    <w:rsid w:val="006D1A86"/>
    <w:rsid w:val="006D3ADC"/>
    <w:rsid w:val="006E6114"/>
    <w:rsid w:val="006E7BB4"/>
    <w:rsid w:val="006F0A4C"/>
    <w:rsid w:val="006F0EFB"/>
    <w:rsid w:val="006F2B4A"/>
    <w:rsid w:val="00700BAA"/>
    <w:rsid w:val="00700C97"/>
    <w:rsid w:val="00706F2C"/>
    <w:rsid w:val="00710F9A"/>
    <w:rsid w:val="00712383"/>
    <w:rsid w:val="00712A99"/>
    <w:rsid w:val="00714642"/>
    <w:rsid w:val="00715557"/>
    <w:rsid w:val="00717041"/>
    <w:rsid w:val="00721A71"/>
    <w:rsid w:val="00730420"/>
    <w:rsid w:val="00731A8C"/>
    <w:rsid w:val="007376AD"/>
    <w:rsid w:val="0074703A"/>
    <w:rsid w:val="00752C81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05DF"/>
    <w:rsid w:val="007C1A15"/>
    <w:rsid w:val="007C7C78"/>
    <w:rsid w:val="007D2C16"/>
    <w:rsid w:val="007D6A06"/>
    <w:rsid w:val="007D7F77"/>
    <w:rsid w:val="007E04F6"/>
    <w:rsid w:val="007E2326"/>
    <w:rsid w:val="007E4F24"/>
    <w:rsid w:val="007E782B"/>
    <w:rsid w:val="008042C8"/>
    <w:rsid w:val="0081126D"/>
    <w:rsid w:val="00820CC4"/>
    <w:rsid w:val="0082595C"/>
    <w:rsid w:val="00825FA7"/>
    <w:rsid w:val="00832412"/>
    <w:rsid w:val="00851168"/>
    <w:rsid w:val="008575D7"/>
    <w:rsid w:val="00861777"/>
    <w:rsid w:val="00867FC9"/>
    <w:rsid w:val="00870373"/>
    <w:rsid w:val="00871490"/>
    <w:rsid w:val="00873D6A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1F6"/>
    <w:rsid w:val="008D1504"/>
    <w:rsid w:val="008D1A10"/>
    <w:rsid w:val="008E6152"/>
    <w:rsid w:val="008F066E"/>
    <w:rsid w:val="008F36D5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3292"/>
    <w:rsid w:val="00944056"/>
    <w:rsid w:val="00945C60"/>
    <w:rsid w:val="00946A46"/>
    <w:rsid w:val="0095408A"/>
    <w:rsid w:val="0095482B"/>
    <w:rsid w:val="00956232"/>
    <w:rsid w:val="009615BB"/>
    <w:rsid w:val="009674DD"/>
    <w:rsid w:val="0097266B"/>
    <w:rsid w:val="00972A6D"/>
    <w:rsid w:val="00973F9C"/>
    <w:rsid w:val="0097525B"/>
    <w:rsid w:val="00976AF5"/>
    <w:rsid w:val="0097729F"/>
    <w:rsid w:val="00985BEF"/>
    <w:rsid w:val="0099730F"/>
    <w:rsid w:val="009A4A9C"/>
    <w:rsid w:val="009A6A06"/>
    <w:rsid w:val="009B399F"/>
    <w:rsid w:val="009B3D50"/>
    <w:rsid w:val="009C0023"/>
    <w:rsid w:val="009C2582"/>
    <w:rsid w:val="009C5BFF"/>
    <w:rsid w:val="009D6195"/>
    <w:rsid w:val="009E0CFE"/>
    <w:rsid w:val="009E7766"/>
    <w:rsid w:val="009F695D"/>
    <w:rsid w:val="009F7854"/>
    <w:rsid w:val="00A02C27"/>
    <w:rsid w:val="00A05A90"/>
    <w:rsid w:val="00A0741A"/>
    <w:rsid w:val="00A1250F"/>
    <w:rsid w:val="00A13E37"/>
    <w:rsid w:val="00A14EEA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223F"/>
    <w:rsid w:val="00A652DA"/>
    <w:rsid w:val="00A74B95"/>
    <w:rsid w:val="00A759F4"/>
    <w:rsid w:val="00A76973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ADF"/>
    <w:rsid w:val="00AD01B3"/>
    <w:rsid w:val="00AD1243"/>
    <w:rsid w:val="00AD5D0F"/>
    <w:rsid w:val="00AD6D3C"/>
    <w:rsid w:val="00AD756B"/>
    <w:rsid w:val="00AD7E80"/>
    <w:rsid w:val="00AE5809"/>
    <w:rsid w:val="00AE7B6C"/>
    <w:rsid w:val="00AF0184"/>
    <w:rsid w:val="00AF1603"/>
    <w:rsid w:val="00AF6235"/>
    <w:rsid w:val="00B02445"/>
    <w:rsid w:val="00B06E76"/>
    <w:rsid w:val="00B07C5A"/>
    <w:rsid w:val="00B11B40"/>
    <w:rsid w:val="00B2026A"/>
    <w:rsid w:val="00B224C3"/>
    <w:rsid w:val="00B2375D"/>
    <w:rsid w:val="00B2530C"/>
    <w:rsid w:val="00B27762"/>
    <w:rsid w:val="00B306F7"/>
    <w:rsid w:val="00B31D0C"/>
    <w:rsid w:val="00B333AF"/>
    <w:rsid w:val="00B37C0A"/>
    <w:rsid w:val="00B42A77"/>
    <w:rsid w:val="00B50A80"/>
    <w:rsid w:val="00B552A3"/>
    <w:rsid w:val="00B568AD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5614"/>
    <w:rsid w:val="00BF63DB"/>
    <w:rsid w:val="00BF7A0E"/>
    <w:rsid w:val="00BF7E71"/>
    <w:rsid w:val="00C01689"/>
    <w:rsid w:val="00C059E9"/>
    <w:rsid w:val="00C05B6F"/>
    <w:rsid w:val="00C10A32"/>
    <w:rsid w:val="00C1400C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20DA"/>
    <w:rsid w:val="00C85B03"/>
    <w:rsid w:val="00C8607D"/>
    <w:rsid w:val="00C8671D"/>
    <w:rsid w:val="00C91364"/>
    <w:rsid w:val="00C94F22"/>
    <w:rsid w:val="00CA178E"/>
    <w:rsid w:val="00CA2311"/>
    <w:rsid w:val="00CA3D24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26155"/>
    <w:rsid w:val="00D30B2F"/>
    <w:rsid w:val="00D31F67"/>
    <w:rsid w:val="00D37221"/>
    <w:rsid w:val="00D40F23"/>
    <w:rsid w:val="00D41713"/>
    <w:rsid w:val="00D4194E"/>
    <w:rsid w:val="00D42767"/>
    <w:rsid w:val="00D474F1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24B1"/>
    <w:rsid w:val="00D9681D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41"/>
    <w:rsid w:val="00DD0ED1"/>
    <w:rsid w:val="00DD6F79"/>
    <w:rsid w:val="00DE3FF2"/>
    <w:rsid w:val="00DE67C0"/>
    <w:rsid w:val="00DF5F26"/>
    <w:rsid w:val="00DF780C"/>
    <w:rsid w:val="00DF7AA6"/>
    <w:rsid w:val="00E02F27"/>
    <w:rsid w:val="00E1080F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3603"/>
    <w:rsid w:val="00E65730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5ED2"/>
    <w:rsid w:val="00EF733F"/>
    <w:rsid w:val="00F00EC8"/>
    <w:rsid w:val="00F022B3"/>
    <w:rsid w:val="00F032E1"/>
    <w:rsid w:val="00F04BCD"/>
    <w:rsid w:val="00F06AC0"/>
    <w:rsid w:val="00F21598"/>
    <w:rsid w:val="00F2164C"/>
    <w:rsid w:val="00F24104"/>
    <w:rsid w:val="00F25691"/>
    <w:rsid w:val="00F25F58"/>
    <w:rsid w:val="00F328C0"/>
    <w:rsid w:val="00F33502"/>
    <w:rsid w:val="00F3788D"/>
    <w:rsid w:val="00F4306A"/>
    <w:rsid w:val="00F50A05"/>
    <w:rsid w:val="00F5232F"/>
    <w:rsid w:val="00F53087"/>
    <w:rsid w:val="00F56FBB"/>
    <w:rsid w:val="00F60BF8"/>
    <w:rsid w:val="00F639A2"/>
    <w:rsid w:val="00F64F44"/>
    <w:rsid w:val="00F651BD"/>
    <w:rsid w:val="00F677F9"/>
    <w:rsid w:val="00F67B1B"/>
    <w:rsid w:val="00F7133D"/>
    <w:rsid w:val="00F73B5E"/>
    <w:rsid w:val="00F763C0"/>
    <w:rsid w:val="00F76E93"/>
    <w:rsid w:val="00F77D90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3B28"/>
    <w:rsid w:val="00FD4437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6F08E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Павельчук Іра</cp:lastModifiedBy>
  <cp:revision>13</cp:revision>
  <cp:lastPrinted>2021-11-11T12:16:00Z</cp:lastPrinted>
  <dcterms:created xsi:type="dcterms:W3CDTF">2021-11-10T14:13:00Z</dcterms:created>
  <dcterms:modified xsi:type="dcterms:W3CDTF">2021-11-11T12:51:00Z</dcterms:modified>
</cp:coreProperties>
</file>