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 </w:t>
      </w:r>
      <w:r w:rsidR="00F00EC8">
        <w:rPr>
          <w:b/>
          <w:sz w:val="32"/>
          <w:szCs w:val="32"/>
        </w:rPr>
        <w:t xml:space="preserve">Інформація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6B72A2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січень</w:t>
      </w:r>
      <w:r w:rsidR="00F00EC8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032ABA" w:rsidRDefault="00032ABA" w:rsidP="00D40F23">
      <w:pPr>
        <w:tabs>
          <w:tab w:val="left" w:pos="540"/>
          <w:tab w:val="left" w:pos="709"/>
          <w:tab w:val="left" w:pos="900"/>
        </w:tabs>
        <w:ind w:firstLine="851"/>
        <w:jc w:val="both"/>
        <w:rPr>
          <w:sz w:val="28"/>
          <w:szCs w:val="28"/>
        </w:rPr>
      </w:pPr>
    </w:p>
    <w:p w:rsidR="00497D4A" w:rsidRPr="00E3071C" w:rsidRDefault="00497D4A" w:rsidP="00497D4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E3071C">
        <w:rPr>
          <w:sz w:val="28"/>
          <w:szCs w:val="28"/>
        </w:rPr>
        <w:t>м.Вараші</w:t>
      </w:r>
      <w:proofErr w:type="spellEnd"/>
      <w:r w:rsidRPr="00E3071C">
        <w:rPr>
          <w:sz w:val="28"/>
          <w:szCs w:val="28"/>
        </w:rPr>
        <w:t xml:space="preserve"> про виконання місцевих бюджетів за січень 202</w:t>
      </w:r>
      <w:r>
        <w:rPr>
          <w:sz w:val="28"/>
          <w:szCs w:val="28"/>
        </w:rPr>
        <w:t>2</w:t>
      </w:r>
      <w:r w:rsidRPr="00E3071C">
        <w:rPr>
          <w:sz w:val="28"/>
          <w:szCs w:val="28"/>
        </w:rPr>
        <w:t xml:space="preserve"> року надходження до </w:t>
      </w:r>
      <w:r w:rsidRPr="00E3071C">
        <w:rPr>
          <w:i/>
          <w:sz w:val="28"/>
          <w:szCs w:val="28"/>
        </w:rPr>
        <w:t>загального фонду</w:t>
      </w:r>
      <w:r w:rsidRPr="00E3071C">
        <w:rPr>
          <w:sz w:val="28"/>
          <w:szCs w:val="28"/>
        </w:rPr>
        <w:t xml:space="preserve"> бюджету </w:t>
      </w:r>
      <w:proofErr w:type="spellStart"/>
      <w:r w:rsidRPr="00E3071C">
        <w:rPr>
          <w:sz w:val="28"/>
          <w:szCs w:val="28"/>
        </w:rPr>
        <w:t>Вараської</w:t>
      </w:r>
      <w:proofErr w:type="spellEnd"/>
      <w:r w:rsidRPr="00E3071C">
        <w:rPr>
          <w:sz w:val="28"/>
          <w:szCs w:val="28"/>
        </w:rPr>
        <w:t xml:space="preserve"> міської територіальної громади склали </w:t>
      </w:r>
      <w:r>
        <w:rPr>
          <w:b/>
          <w:sz w:val="28"/>
          <w:szCs w:val="28"/>
        </w:rPr>
        <w:t>84 540,8</w:t>
      </w:r>
      <w:r w:rsidRPr="00E3071C">
        <w:rPr>
          <w:b/>
          <w:sz w:val="28"/>
          <w:szCs w:val="28"/>
          <w:lang w:val="en-US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. </w:t>
      </w:r>
    </w:p>
    <w:p w:rsidR="00497D4A" w:rsidRPr="00E3071C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i/>
          <w:sz w:val="28"/>
          <w:szCs w:val="28"/>
        </w:rPr>
        <w:t xml:space="preserve">Доходи загального фонду </w:t>
      </w:r>
      <w:r w:rsidRPr="00E3071C">
        <w:rPr>
          <w:sz w:val="28"/>
          <w:szCs w:val="28"/>
        </w:rPr>
        <w:t xml:space="preserve">бюджету (без урахування офіційних трансфертів) склали </w:t>
      </w:r>
      <w:r>
        <w:rPr>
          <w:b/>
          <w:sz w:val="28"/>
          <w:szCs w:val="28"/>
          <w:lang w:val="ru-RU"/>
        </w:rPr>
        <w:t>70 759,2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95,3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до планових надходжень </w:t>
      </w:r>
      <w:r>
        <w:rPr>
          <w:sz w:val="28"/>
          <w:szCs w:val="28"/>
        </w:rPr>
        <w:t xml:space="preserve">                              </w:t>
      </w:r>
      <w:r w:rsidRPr="00E3071C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BF1D71">
        <w:rPr>
          <w:b/>
          <w:sz w:val="28"/>
          <w:szCs w:val="28"/>
        </w:rPr>
        <w:t>3 479,</w:t>
      </w:r>
      <w:r>
        <w:rPr>
          <w:sz w:val="28"/>
          <w:szCs w:val="28"/>
        </w:rPr>
        <w:t>0</w:t>
      </w:r>
      <w:r>
        <w:rPr>
          <w:b/>
          <w:sz w:val="28"/>
          <w:szCs w:val="28"/>
          <w:lang w:val="ru-RU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та </w:t>
      </w:r>
      <w:r>
        <w:rPr>
          <w:b/>
          <w:sz w:val="28"/>
          <w:szCs w:val="28"/>
        </w:rPr>
        <w:t>109,0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(+</w:t>
      </w:r>
      <w:r>
        <w:rPr>
          <w:b/>
          <w:sz w:val="28"/>
          <w:szCs w:val="28"/>
        </w:rPr>
        <w:t>5 827,3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 до показника відповідного періоду 202</w:t>
      </w:r>
      <w:r>
        <w:rPr>
          <w:sz w:val="28"/>
          <w:szCs w:val="28"/>
        </w:rPr>
        <w:t>1</w:t>
      </w:r>
      <w:r w:rsidRPr="00E3071C">
        <w:rPr>
          <w:sz w:val="28"/>
          <w:szCs w:val="28"/>
        </w:rPr>
        <w:t xml:space="preserve"> року.</w:t>
      </w:r>
    </w:p>
    <w:p w:rsidR="00497D4A" w:rsidRPr="00E3071C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Основними </w:t>
      </w:r>
      <w:proofErr w:type="spellStart"/>
      <w:r w:rsidRPr="00E3071C">
        <w:rPr>
          <w:sz w:val="28"/>
          <w:szCs w:val="28"/>
        </w:rPr>
        <w:t>бюджетоформуючими</w:t>
      </w:r>
      <w:proofErr w:type="spellEnd"/>
      <w:r w:rsidRPr="00E3071C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</w:t>
      </w:r>
      <w:r>
        <w:rPr>
          <w:sz w:val="28"/>
          <w:szCs w:val="28"/>
        </w:rPr>
        <w:t>і</w:t>
      </w:r>
      <w:r w:rsidRPr="00E3071C">
        <w:rPr>
          <w:sz w:val="28"/>
          <w:szCs w:val="28"/>
        </w:rPr>
        <w:t xml:space="preserve"> місцеві податки і збори.</w:t>
      </w:r>
    </w:p>
    <w:p w:rsidR="00497D4A" w:rsidRPr="00E3071C" w:rsidRDefault="00497D4A" w:rsidP="00497D4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В структурі власних доходів загального фонду бюджету податок та збір на доходи фізичних осіб</w:t>
      </w:r>
      <w:r w:rsidRPr="00E3071C">
        <w:rPr>
          <w:b/>
          <w:sz w:val="28"/>
          <w:szCs w:val="28"/>
        </w:rPr>
        <w:t xml:space="preserve">  </w:t>
      </w:r>
      <w:r w:rsidRPr="00E3071C">
        <w:rPr>
          <w:sz w:val="28"/>
          <w:szCs w:val="28"/>
        </w:rPr>
        <w:t>займає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88,5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 його надходження склали </w:t>
      </w:r>
      <w:r>
        <w:rPr>
          <w:b/>
          <w:sz w:val="28"/>
          <w:szCs w:val="28"/>
        </w:rPr>
        <w:t>62 649,0 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5 419,0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,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або на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9,5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 проти надходжень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за відповідний період минулого року.</w:t>
      </w:r>
    </w:p>
    <w:p w:rsidR="00497D4A" w:rsidRPr="00E3071C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Частка місцевих податків і зборів у структурі власних доходів загального фонду бюджету складає </w:t>
      </w:r>
      <w:r>
        <w:rPr>
          <w:b/>
          <w:sz w:val="28"/>
          <w:szCs w:val="28"/>
        </w:rPr>
        <w:t>9,6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. Фактичні їх надходження склали </w:t>
      </w:r>
      <w:r>
        <w:rPr>
          <w:b/>
          <w:sz w:val="28"/>
          <w:szCs w:val="28"/>
        </w:rPr>
        <w:t>6 809,6 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46,7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 w:rsidRPr="00BF1D71">
        <w:rPr>
          <w:b/>
          <w:sz w:val="28"/>
          <w:szCs w:val="28"/>
        </w:rPr>
        <w:t>0,7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проти таких надходжень за відповідний період минулого року.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 xml:space="preserve">   </w:t>
      </w:r>
    </w:p>
    <w:p w:rsidR="00497D4A" w:rsidRPr="00E3071C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Найбільша питома вага в структурі надходжень місцевих податків і зборів припадає на:</w:t>
      </w:r>
    </w:p>
    <w:p w:rsidR="00497D4A" w:rsidRPr="00E3071C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плату за землю -  </w:t>
      </w:r>
      <w:r>
        <w:rPr>
          <w:b/>
          <w:sz w:val="28"/>
          <w:szCs w:val="28"/>
        </w:rPr>
        <w:t>48,6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3 307,2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). Приріст надходжень плати за землю проти відповідного періоду 202</w:t>
      </w:r>
      <w:r>
        <w:rPr>
          <w:sz w:val="28"/>
          <w:szCs w:val="28"/>
        </w:rPr>
        <w:t>1</w:t>
      </w:r>
      <w:r w:rsidRPr="00E3071C">
        <w:rPr>
          <w:sz w:val="28"/>
          <w:szCs w:val="28"/>
        </w:rPr>
        <w:t xml:space="preserve"> року склав </w:t>
      </w:r>
      <w:r>
        <w:rPr>
          <w:b/>
          <w:sz w:val="28"/>
          <w:szCs w:val="28"/>
        </w:rPr>
        <w:t>4,5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142,8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); </w:t>
      </w:r>
    </w:p>
    <w:p w:rsidR="00497D4A" w:rsidRPr="00E3071C" w:rsidRDefault="00497D4A" w:rsidP="00497D4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єдиний податок  - </w:t>
      </w:r>
      <w:r>
        <w:rPr>
          <w:b/>
          <w:sz w:val="28"/>
          <w:szCs w:val="28"/>
        </w:rPr>
        <w:t>41,7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2 837,3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). Приріст надходжень єдиного податку проти відповідного періоду 202</w:t>
      </w:r>
      <w:r>
        <w:rPr>
          <w:sz w:val="28"/>
          <w:szCs w:val="28"/>
        </w:rPr>
        <w:t>1</w:t>
      </w:r>
      <w:r w:rsidRPr="00E3071C">
        <w:rPr>
          <w:sz w:val="28"/>
          <w:szCs w:val="28"/>
        </w:rPr>
        <w:t xml:space="preserve"> року склав </w:t>
      </w:r>
      <w:r>
        <w:rPr>
          <w:b/>
          <w:sz w:val="28"/>
          <w:szCs w:val="28"/>
        </w:rPr>
        <w:t>50,2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948,1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).</w:t>
      </w:r>
      <w:r w:rsidRPr="00E3071C">
        <w:rPr>
          <w:b/>
          <w:sz w:val="28"/>
          <w:szCs w:val="28"/>
        </w:rPr>
        <w:t xml:space="preserve"> </w:t>
      </w:r>
    </w:p>
    <w:p w:rsidR="00497D4A" w:rsidRPr="00E3071C" w:rsidRDefault="00497D4A" w:rsidP="00497D4A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Надходження акцизного податку </w:t>
      </w:r>
      <w:r>
        <w:rPr>
          <w:sz w:val="28"/>
          <w:szCs w:val="28"/>
        </w:rPr>
        <w:t>та</w:t>
      </w:r>
      <w:r w:rsidRPr="00E3071C">
        <w:rPr>
          <w:sz w:val="28"/>
          <w:szCs w:val="28"/>
        </w:rPr>
        <w:t xml:space="preserve"> рентної плати за використання інших природних ресурсів склали </w:t>
      </w:r>
      <w:r>
        <w:rPr>
          <w:b/>
          <w:sz w:val="28"/>
          <w:szCs w:val="28"/>
        </w:rPr>
        <w:t>1,2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816,2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 і  </w:t>
      </w:r>
      <w:r w:rsidRPr="00E3071C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03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23,0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від обсягу власних доходів загального фонду бюджету відповідно.  </w:t>
      </w:r>
    </w:p>
    <w:p w:rsidR="00497D4A" w:rsidRPr="00CA49AE" w:rsidRDefault="00497D4A" w:rsidP="00497D4A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>
        <w:rPr>
          <w:sz w:val="28"/>
          <w:szCs w:val="28"/>
          <w:lang w:val="ru-RU"/>
        </w:rPr>
        <w:t xml:space="preserve">        </w:t>
      </w:r>
      <w:r w:rsidRPr="00E3071C">
        <w:rPr>
          <w:sz w:val="28"/>
          <w:szCs w:val="28"/>
        </w:rPr>
        <w:t xml:space="preserve">Офіційні трансферти до загального фонду бюджету склали  </w:t>
      </w:r>
      <w:r>
        <w:rPr>
          <w:b/>
          <w:sz w:val="28"/>
          <w:szCs w:val="28"/>
          <w:lang w:val="ru-RU"/>
        </w:rPr>
        <w:t>13 781,6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 xml:space="preserve">, </w:t>
      </w:r>
      <w:r>
        <w:rPr>
          <w:rFonts w:ascii="Times New Roman CYR" w:hAnsi="Times New Roman CYR"/>
          <w:bCs/>
          <w:sz w:val="28"/>
          <w:szCs w:val="20"/>
          <w:lang w:eastAsia="ru-RU"/>
        </w:rPr>
        <w:t>що складає 100,0%</w:t>
      </w:r>
      <w:r w:rsidRPr="00CA49AE">
        <w:rPr>
          <w:rFonts w:ascii="Times New Roman CYR" w:hAnsi="Times New Roman CYR"/>
          <w:bCs/>
          <w:sz w:val="28"/>
          <w:szCs w:val="20"/>
          <w:lang w:eastAsia="ru-RU"/>
        </w:rPr>
        <w:t xml:space="preserve"> від передбачених розписом доходів бюджету на звітний період.</w:t>
      </w:r>
    </w:p>
    <w:p w:rsidR="00497D4A" w:rsidRDefault="00497D4A" w:rsidP="00497D4A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071C">
        <w:rPr>
          <w:sz w:val="28"/>
          <w:szCs w:val="28"/>
        </w:rPr>
        <w:t>До</w:t>
      </w:r>
      <w:r>
        <w:rPr>
          <w:sz w:val="28"/>
          <w:szCs w:val="28"/>
        </w:rPr>
        <w:t>ходи</w:t>
      </w:r>
      <w:r w:rsidRPr="00E3071C">
        <w:rPr>
          <w:sz w:val="28"/>
          <w:szCs w:val="28"/>
        </w:rPr>
        <w:t xml:space="preserve"> </w:t>
      </w:r>
      <w:r w:rsidRPr="00E3071C">
        <w:rPr>
          <w:i/>
          <w:sz w:val="28"/>
          <w:szCs w:val="28"/>
        </w:rPr>
        <w:t xml:space="preserve">спеціального фонду </w:t>
      </w:r>
      <w:r w:rsidRPr="00E3071C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склали</w:t>
      </w:r>
      <w:r w:rsidRPr="00E3071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579,8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, з яких</w:t>
      </w:r>
      <w:r>
        <w:rPr>
          <w:sz w:val="28"/>
          <w:szCs w:val="28"/>
        </w:rPr>
        <w:t>:</w:t>
      </w:r>
      <w:r w:rsidRPr="00E3071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570,7</w:t>
      </w:r>
      <w:r w:rsidRPr="00E3071C">
        <w:rPr>
          <w:b/>
          <w:sz w:val="28"/>
          <w:szCs w:val="28"/>
        </w:rPr>
        <w:t> тис. грн</w:t>
      </w:r>
      <w:r w:rsidRPr="00E3071C">
        <w:rPr>
          <w:sz w:val="28"/>
          <w:szCs w:val="28"/>
        </w:rPr>
        <w:t xml:space="preserve">, або </w:t>
      </w:r>
      <w:r>
        <w:rPr>
          <w:b/>
          <w:sz w:val="28"/>
          <w:szCs w:val="28"/>
        </w:rPr>
        <w:t>98,4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>, складають власні надходження бюджетних установ</w:t>
      </w:r>
      <w:r>
        <w:rPr>
          <w:sz w:val="28"/>
          <w:szCs w:val="28"/>
        </w:rPr>
        <w:t>;</w:t>
      </w:r>
    </w:p>
    <w:p w:rsidR="00497D4A" w:rsidRPr="00436A17" w:rsidRDefault="00497D4A" w:rsidP="00497D4A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  <w:r w:rsidRPr="00DF1B8F">
        <w:rPr>
          <w:b/>
          <w:sz w:val="28"/>
          <w:szCs w:val="28"/>
        </w:rPr>
        <w:t xml:space="preserve">26,4 </w:t>
      </w:r>
      <w:proofErr w:type="spellStart"/>
      <w:r w:rsidRPr="00DF1B8F">
        <w:rPr>
          <w:b/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, або </w:t>
      </w:r>
      <w:r w:rsidRPr="00DF1B8F">
        <w:rPr>
          <w:b/>
          <w:sz w:val="28"/>
          <w:szCs w:val="28"/>
        </w:rPr>
        <w:t>4,6%</w:t>
      </w:r>
      <w:r>
        <w:rPr>
          <w:b/>
          <w:sz w:val="28"/>
          <w:szCs w:val="28"/>
        </w:rPr>
        <w:t xml:space="preserve">, - </w:t>
      </w:r>
      <w:r>
        <w:rPr>
          <w:sz w:val="28"/>
          <w:szCs w:val="28"/>
        </w:rPr>
        <w:t>г</w:t>
      </w:r>
      <w:r w:rsidRPr="00DF1B8F">
        <w:rPr>
          <w:sz w:val="28"/>
          <w:szCs w:val="28"/>
        </w:rPr>
        <w:t>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>
        <w:rPr>
          <w:sz w:val="28"/>
          <w:szCs w:val="28"/>
        </w:rPr>
        <w:t xml:space="preserve">, </w:t>
      </w:r>
      <w:r w:rsidRPr="00DF1B8F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 xml:space="preserve"> і  </w:t>
      </w:r>
      <w:r>
        <w:rPr>
          <w:b/>
          <w:sz w:val="28"/>
          <w:szCs w:val="28"/>
        </w:rPr>
        <w:t>0,5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</w:t>
      </w:r>
      <w:r>
        <w:rPr>
          <w:b/>
          <w:sz w:val="28"/>
          <w:szCs w:val="28"/>
        </w:rPr>
        <w:t>0,09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</w:t>
      </w:r>
      <w:r w:rsidRPr="00436A17">
        <w:rPr>
          <w:sz w:val="28"/>
          <w:szCs w:val="28"/>
          <w:lang w:eastAsia="ru-RU"/>
        </w:rPr>
        <w:t>–</w:t>
      </w:r>
      <w:r w:rsidRPr="00E3071C">
        <w:rPr>
          <w:sz w:val="28"/>
          <w:szCs w:val="28"/>
        </w:rPr>
        <w:t xml:space="preserve"> </w:t>
      </w:r>
      <w:r w:rsidRPr="002E3CB3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бюджету розвитку (</w:t>
      </w:r>
      <w:r w:rsidRPr="00436A17">
        <w:rPr>
          <w:sz w:val="28"/>
          <w:szCs w:val="28"/>
          <w:lang w:eastAsia="ru-RU"/>
        </w:rPr>
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</w:t>
      </w:r>
      <w:r>
        <w:rPr>
          <w:sz w:val="28"/>
          <w:szCs w:val="28"/>
          <w:lang w:eastAsia="ru-RU"/>
        </w:rPr>
        <w:t>конструкцію) та придбання житла)</w:t>
      </w:r>
      <w:r w:rsidRPr="00436A17">
        <w:rPr>
          <w:sz w:val="28"/>
          <w:szCs w:val="28"/>
          <w:lang w:eastAsia="ru-RU"/>
        </w:rPr>
        <w:t>.</w:t>
      </w:r>
    </w:p>
    <w:p w:rsidR="00497D4A" w:rsidRPr="007D7D2B" w:rsidRDefault="00497D4A" w:rsidP="00497D4A">
      <w:pPr>
        <w:tabs>
          <w:tab w:val="left" w:pos="567"/>
          <w:tab w:val="left" w:pos="709"/>
          <w:tab w:val="left" w:pos="90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E3071C">
        <w:rPr>
          <w:sz w:val="28"/>
          <w:szCs w:val="28"/>
        </w:rPr>
        <w:t xml:space="preserve">В цілому доходи бюджету </w:t>
      </w:r>
      <w:r>
        <w:rPr>
          <w:sz w:val="28"/>
          <w:szCs w:val="28"/>
        </w:rPr>
        <w:t xml:space="preserve">міської територіальної громади </w:t>
      </w:r>
      <w:r w:rsidRPr="00E3071C">
        <w:rPr>
          <w:sz w:val="28"/>
          <w:szCs w:val="28"/>
        </w:rPr>
        <w:t>станом на 01.</w:t>
      </w:r>
      <w:r>
        <w:rPr>
          <w:sz w:val="28"/>
          <w:szCs w:val="28"/>
        </w:rPr>
        <w:t>02</w:t>
      </w:r>
      <w:r w:rsidRPr="00E3071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E5944">
        <w:rPr>
          <w:sz w:val="28"/>
          <w:szCs w:val="28"/>
          <w:lang w:val="ru-RU"/>
        </w:rPr>
        <w:t xml:space="preserve"> </w:t>
      </w:r>
      <w:r w:rsidRPr="00E3071C">
        <w:rPr>
          <w:sz w:val="28"/>
          <w:szCs w:val="28"/>
        </w:rPr>
        <w:t xml:space="preserve">склали </w:t>
      </w:r>
      <w:r>
        <w:rPr>
          <w:b/>
          <w:sz w:val="28"/>
          <w:szCs w:val="28"/>
          <w:lang w:val="ru-RU"/>
        </w:rPr>
        <w:t>85 138,6</w:t>
      </w:r>
      <w:r w:rsidRPr="00E3071C">
        <w:rPr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3 415,5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3,9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</w:t>
      </w:r>
      <w:r>
        <w:rPr>
          <w:sz w:val="28"/>
          <w:szCs w:val="28"/>
        </w:rPr>
        <w:t>мен</w:t>
      </w:r>
      <w:r w:rsidRPr="00E3071C">
        <w:rPr>
          <w:sz w:val="28"/>
          <w:szCs w:val="28"/>
        </w:rPr>
        <w:t xml:space="preserve">ше </w:t>
      </w:r>
      <w:r w:rsidRPr="00E3071C">
        <w:rPr>
          <w:sz w:val="28"/>
          <w:szCs w:val="28"/>
        </w:rPr>
        <w:lastRenderedPageBreak/>
        <w:t xml:space="preserve">планового показника та на </w:t>
      </w:r>
      <w:r>
        <w:rPr>
          <w:b/>
          <w:sz w:val="28"/>
          <w:szCs w:val="28"/>
          <w:lang w:val="ru-RU"/>
        </w:rPr>
        <w:t>10 399,9</w:t>
      </w:r>
      <w:r w:rsidRPr="00E3071C">
        <w:rPr>
          <w:b/>
          <w:sz w:val="28"/>
          <w:szCs w:val="28"/>
          <w:lang w:val="ru-RU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13,9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>, більше аналогічного показника за відповідний період минулого року.</w:t>
      </w:r>
      <w:r w:rsidRPr="007D7D2B">
        <w:rPr>
          <w:sz w:val="28"/>
          <w:szCs w:val="28"/>
          <w:lang w:eastAsia="ru-RU"/>
        </w:rPr>
        <w:t xml:space="preserve"> </w:t>
      </w:r>
    </w:p>
    <w:p w:rsidR="00A76973" w:rsidRPr="00C8607D" w:rsidRDefault="00A76973" w:rsidP="00A7697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7C05DF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Станом на 01.</w:t>
      </w:r>
      <w:r w:rsidR="003152C2">
        <w:rPr>
          <w:szCs w:val="28"/>
        </w:rPr>
        <w:t>0</w:t>
      </w:r>
      <w:r w:rsidR="00D91E2A">
        <w:rPr>
          <w:szCs w:val="28"/>
        </w:rPr>
        <w:t>2</w:t>
      </w:r>
      <w:r>
        <w:rPr>
          <w:szCs w:val="28"/>
        </w:rPr>
        <w:t>.202</w:t>
      </w:r>
      <w:r w:rsidR="003152C2">
        <w:rPr>
          <w:szCs w:val="28"/>
        </w:rPr>
        <w:t>2</w:t>
      </w:r>
      <w:r>
        <w:rPr>
          <w:szCs w:val="28"/>
        </w:rPr>
        <w:t xml:space="preserve"> </w:t>
      </w:r>
      <w:r w:rsidRPr="00A42B69">
        <w:rPr>
          <w:szCs w:val="28"/>
        </w:rPr>
        <w:t xml:space="preserve">року виконання бюджету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територіальної громади</w:t>
      </w:r>
      <w:r w:rsidRPr="00A42B69">
        <w:rPr>
          <w:szCs w:val="28"/>
        </w:rPr>
        <w:t xml:space="preserve"> </w:t>
      </w:r>
      <w:r w:rsidRPr="002F4574">
        <w:rPr>
          <w:b/>
          <w:szCs w:val="28"/>
          <w:u w:val="single"/>
        </w:rPr>
        <w:t>по видатках та кредитуванню</w:t>
      </w:r>
      <w:r w:rsidRPr="00A42B69">
        <w:rPr>
          <w:szCs w:val="28"/>
        </w:rPr>
        <w:t xml:space="preserve"> </w:t>
      </w:r>
      <w:r w:rsidRPr="00C01689">
        <w:rPr>
          <w:szCs w:val="28"/>
        </w:rPr>
        <w:t xml:space="preserve">становить </w:t>
      </w:r>
      <w:r w:rsidR="003152C2">
        <w:rPr>
          <w:b/>
          <w:szCs w:val="28"/>
          <w:lang w:val="ru-RU"/>
        </w:rPr>
        <w:t>76,9</w:t>
      </w:r>
      <w:r>
        <w:rPr>
          <w:szCs w:val="28"/>
        </w:rPr>
        <w:t>% до уточненого плану, у</w:t>
      </w:r>
      <w:r w:rsidRPr="00C01689">
        <w:rPr>
          <w:szCs w:val="28"/>
        </w:rPr>
        <w:t xml:space="preserve"> тому числі: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 фонду</w:t>
      </w:r>
      <w:r w:rsidRPr="00C01689">
        <w:rPr>
          <w:szCs w:val="28"/>
        </w:rPr>
        <w:t xml:space="preserve"> – </w:t>
      </w:r>
      <w:r w:rsidR="003152C2">
        <w:rPr>
          <w:b/>
          <w:szCs w:val="28"/>
          <w:lang w:val="ru-RU"/>
        </w:rPr>
        <w:t>81,0</w:t>
      </w:r>
      <w:r w:rsidRPr="00C01689">
        <w:rPr>
          <w:szCs w:val="28"/>
        </w:rPr>
        <w:t xml:space="preserve">%,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 фонду</w:t>
      </w:r>
      <w:r w:rsidRPr="002F4574">
        <w:rPr>
          <w:b/>
          <w:szCs w:val="28"/>
        </w:rPr>
        <w:t xml:space="preserve"> </w:t>
      </w:r>
      <w:r w:rsidRPr="00C01689">
        <w:rPr>
          <w:szCs w:val="28"/>
        </w:rPr>
        <w:t xml:space="preserve">– </w:t>
      </w:r>
      <w:r w:rsidR="003152C2">
        <w:rPr>
          <w:b/>
          <w:szCs w:val="28"/>
        </w:rPr>
        <w:t>1,6</w:t>
      </w:r>
      <w:r w:rsidRPr="00C01689">
        <w:rPr>
          <w:szCs w:val="28"/>
        </w:rPr>
        <w:t xml:space="preserve">%.  Тобто, при уточненому плані </w:t>
      </w:r>
      <w:r>
        <w:rPr>
          <w:szCs w:val="28"/>
        </w:rPr>
        <w:t xml:space="preserve">на січень </w:t>
      </w:r>
      <w:r w:rsidRPr="00C01689">
        <w:rPr>
          <w:szCs w:val="28"/>
        </w:rPr>
        <w:t>20</w:t>
      </w:r>
      <w:r>
        <w:rPr>
          <w:szCs w:val="28"/>
        </w:rPr>
        <w:t>2</w:t>
      </w:r>
      <w:r w:rsidR="003152C2">
        <w:rPr>
          <w:szCs w:val="28"/>
        </w:rPr>
        <w:t>2</w:t>
      </w:r>
      <w:r w:rsidRPr="00C01689">
        <w:rPr>
          <w:szCs w:val="28"/>
        </w:rPr>
        <w:t xml:space="preserve"> р</w:t>
      </w:r>
      <w:r>
        <w:rPr>
          <w:szCs w:val="28"/>
        </w:rPr>
        <w:t>о</w:t>
      </w:r>
      <w:r w:rsidRPr="00C01689">
        <w:rPr>
          <w:szCs w:val="28"/>
        </w:rPr>
        <w:t>к</w:t>
      </w:r>
      <w:r>
        <w:rPr>
          <w:szCs w:val="28"/>
        </w:rPr>
        <w:t>у</w:t>
      </w:r>
      <w:r w:rsidRPr="00C01689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3152C2">
        <w:rPr>
          <w:b/>
          <w:szCs w:val="28"/>
        </w:rPr>
        <w:t>69 382,1 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на утримання бюджетних установ та виконання програмних завдань використано </w:t>
      </w:r>
      <w:r w:rsidR="003152C2">
        <w:rPr>
          <w:b/>
          <w:szCs w:val="28"/>
        </w:rPr>
        <w:t>53 367,0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у тому числі по видатках </w:t>
      </w:r>
      <w:r w:rsidR="003152C2">
        <w:rPr>
          <w:b/>
          <w:szCs w:val="28"/>
        </w:rPr>
        <w:t>53 369,9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,</w:t>
      </w:r>
      <w:r w:rsidRPr="00C01689">
        <w:rPr>
          <w:szCs w:val="28"/>
        </w:rPr>
        <w:t xml:space="preserve"> по кредитуванню</w:t>
      </w:r>
      <w:r>
        <w:rPr>
          <w:szCs w:val="28"/>
        </w:rPr>
        <w:t xml:space="preserve"> повернуто </w:t>
      </w:r>
      <w:r w:rsidRPr="00E94300">
        <w:rPr>
          <w:szCs w:val="28"/>
        </w:rPr>
        <w:t>”-”</w:t>
      </w:r>
      <w:r>
        <w:rPr>
          <w:szCs w:val="28"/>
          <w:lang w:val="ru-RU"/>
        </w:rPr>
        <w:t xml:space="preserve"> </w:t>
      </w:r>
      <w:r w:rsidR="003152C2">
        <w:rPr>
          <w:b/>
          <w:szCs w:val="28"/>
          <w:lang w:val="ru-RU"/>
        </w:rPr>
        <w:t>2,9</w:t>
      </w:r>
      <w:r>
        <w:rPr>
          <w:b/>
          <w:szCs w:val="28"/>
        </w:rPr>
        <w:t> </w:t>
      </w:r>
      <w:proofErr w:type="spellStart"/>
      <w:r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. Обсяг видатків збільшився у порівнянні з аналогічним періодом минулого року на </w:t>
      </w:r>
      <w:r w:rsidR="0048234C">
        <w:rPr>
          <w:b/>
          <w:szCs w:val="28"/>
          <w:lang w:val="ru-RU"/>
        </w:rPr>
        <w:t>4 282,1</w:t>
      </w:r>
      <w:r w:rsidR="00176AD3">
        <w:rPr>
          <w:b/>
          <w:szCs w:val="28"/>
          <w:lang w:val="ru-RU"/>
        </w:rPr>
        <w:t> 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48234C">
        <w:rPr>
          <w:b/>
          <w:szCs w:val="28"/>
        </w:rPr>
        <w:t>8,7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%.</w:t>
      </w:r>
    </w:p>
    <w:p w:rsidR="007C05DF" w:rsidRPr="00C01689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 </w:t>
      </w:r>
      <w:r w:rsidR="00366505">
        <w:rPr>
          <w:b/>
          <w:szCs w:val="28"/>
        </w:rPr>
        <w:t>65 821,0</w:t>
      </w:r>
      <w:r>
        <w:rPr>
          <w:szCs w:val="28"/>
        </w:rPr>
        <w:t>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використано </w:t>
      </w:r>
      <w:r w:rsidR="008161F3">
        <w:rPr>
          <w:b/>
          <w:szCs w:val="28"/>
        </w:rPr>
        <w:t>53 311,8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, що </w:t>
      </w:r>
      <w:r w:rsidRPr="00DD6F79">
        <w:rPr>
          <w:szCs w:val="28"/>
        </w:rPr>
        <w:t xml:space="preserve">на </w:t>
      </w:r>
      <w:r w:rsidR="0048234C">
        <w:rPr>
          <w:b/>
          <w:szCs w:val="28"/>
        </w:rPr>
        <w:t>6 870,8</w:t>
      </w:r>
      <w:r w:rsidRPr="00DD6F79">
        <w:rPr>
          <w:b/>
          <w:szCs w:val="28"/>
        </w:rPr>
        <w:t xml:space="preserve"> 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48234C">
        <w:rPr>
          <w:b/>
          <w:szCs w:val="28"/>
        </w:rPr>
        <w:t>14,8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 більше рівня минулого року.</w:t>
      </w:r>
    </w:p>
    <w:p w:rsidR="007C05DF" w:rsidRPr="00F25F58" w:rsidRDefault="007C05DF" w:rsidP="007C05DF">
      <w:pPr>
        <w:pStyle w:val="a3"/>
        <w:tabs>
          <w:tab w:val="left" w:pos="540"/>
        </w:tabs>
        <w:ind w:firstLine="851"/>
        <w:rPr>
          <w:sz w:val="8"/>
          <w:szCs w:val="8"/>
        </w:rPr>
      </w:pPr>
      <w:r w:rsidRPr="00E94300"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 w:rsidR="0099527B">
        <w:rPr>
          <w:b/>
          <w:szCs w:val="28"/>
        </w:rPr>
        <w:t>3 561,1</w:t>
      </w:r>
      <w:r>
        <w:rPr>
          <w:b/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вико</w:t>
      </w:r>
      <w:r w:rsidR="0099527B">
        <w:rPr>
          <w:szCs w:val="28"/>
        </w:rPr>
        <w:t>ристано</w:t>
      </w:r>
      <w:r>
        <w:rPr>
          <w:szCs w:val="28"/>
        </w:rPr>
        <w:t xml:space="preserve"> </w:t>
      </w:r>
      <w:r w:rsidR="0099527B">
        <w:rPr>
          <w:b/>
          <w:szCs w:val="28"/>
        </w:rPr>
        <w:t>55,2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99527B">
        <w:rPr>
          <w:b/>
          <w:szCs w:val="28"/>
        </w:rPr>
        <w:t>58,1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 xml:space="preserve">; по кредитуванню  повернуто  ”-” </w:t>
      </w:r>
      <w:r w:rsidR="009C7A2E">
        <w:rPr>
          <w:b/>
          <w:szCs w:val="28"/>
        </w:rPr>
        <w:t>2,9</w:t>
      </w:r>
      <w:r w:rsidRPr="00E94300"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. У порівнянні з аналогічним періодом минулого року обсяг видатків зріс на </w:t>
      </w:r>
      <w:r w:rsidR="0048234C">
        <w:rPr>
          <w:b/>
          <w:szCs w:val="28"/>
        </w:rPr>
        <w:t>917,2</w:t>
      </w:r>
      <w:r w:rsidRPr="009E0CFE">
        <w:rPr>
          <w:b/>
          <w:szCs w:val="28"/>
        </w:rPr>
        <w:t xml:space="preserve"> </w:t>
      </w:r>
      <w:proofErr w:type="spellStart"/>
      <w:r w:rsidRPr="009E0CFE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 або </w:t>
      </w:r>
      <w:r w:rsidR="00FD4437">
        <w:rPr>
          <w:szCs w:val="28"/>
        </w:rPr>
        <w:t xml:space="preserve">на </w:t>
      </w:r>
      <w:r w:rsidR="0048234C">
        <w:rPr>
          <w:b/>
          <w:szCs w:val="28"/>
        </w:rPr>
        <w:t>34,7</w:t>
      </w:r>
      <w:bookmarkStart w:id="0" w:name="_GoBack"/>
      <w:bookmarkEnd w:id="0"/>
      <w:r w:rsidRPr="009E0CFE">
        <w:rPr>
          <w:szCs w:val="28"/>
        </w:rPr>
        <w:t xml:space="preserve"> %.</w:t>
      </w:r>
    </w:p>
    <w:p w:rsidR="007C05DF" w:rsidRDefault="007C05DF" w:rsidP="007C05DF">
      <w:pPr>
        <w:ind w:firstLine="567"/>
        <w:jc w:val="both"/>
        <w:rPr>
          <w:b/>
          <w:sz w:val="27"/>
          <w:szCs w:val="27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Pr="00A42B69">
        <w:rPr>
          <w:szCs w:val="28"/>
        </w:rPr>
        <w:t>ачальник фінансо</w:t>
      </w:r>
      <w:r>
        <w:rPr>
          <w:szCs w:val="28"/>
        </w:rPr>
        <w:t>вого управління                                          Валентина ТАЦЮК</w:t>
      </w:r>
    </w:p>
    <w:p w:rsidR="009D6195" w:rsidRDefault="009D6195" w:rsidP="009D6195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</w:p>
    <w:p w:rsidR="009D6195" w:rsidRPr="00A30E24" w:rsidRDefault="00D474F1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Олена Хандучка</w:t>
      </w:r>
      <w:r w:rsidR="009D6195">
        <w:rPr>
          <w:sz w:val="20"/>
        </w:rPr>
        <w:t xml:space="preserve"> </w:t>
      </w:r>
      <w:r w:rsidR="009D6195" w:rsidRPr="00A30E24">
        <w:rPr>
          <w:sz w:val="20"/>
        </w:rPr>
        <w:t>2-43-83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Ірина Павельчук </w:t>
      </w:r>
      <w:r w:rsidRPr="00A30E24">
        <w:rPr>
          <w:sz w:val="20"/>
        </w:rPr>
        <w:t xml:space="preserve">3-12-38 </w:t>
      </w:r>
    </w:p>
    <w:p w:rsidR="009D6195" w:rsidRDefault="009D6195" w:rsidP="009D6195">
      <w:pPr>
        <w:pStyle w:val="a3"/>
        <w:tabs>
          <w:tab w:val="left" w:pos="567"/>
        </w:tabs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176A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761"/>
    <w:rsid w:val="00032ABA"/>
    <w:rsid w:val="0003432C"/>
    <w:rsid w:val="00037622"/>
    <w:rsid w:val="00040864"/>
    <w:rsid w:val="000412D9"/>
    <w:rsid w:val="000414FD"/>
    <w:rsid w:val="00041BBB"/>
    <w:rsid w:val="000440E8"/>
    <w:rsid w:val="00050E0C"/>
    <w:rsid w:val="00054B50"/>
    <w:rsid w:val="00056524"/>
    <w:rsid w:val="00057876"/>
    <w:rsid w:val="00057BD5"/>
    <w:rsid w:val="00060109"/>
    <w:rsid w:val="00066BDB"/>
    <w:rsid w:val="000672BE"/>
    <w:rsid w:val="00067889"/>
    <w:rsid w:val="00070124"/>
    <w:rsid w:val="00070327"/>
    <w:rsid w:val="0007506F"/>
    <w:rsid w:val="000819A4"/>
    <w:rsid w:val="000836D1"/>
    <w:rsid w:val="000867E7"/>
    <w:rsid w:val="0009674A"/>
    <w:rsid w:val="00096B9C"/>
    <w:rsid w:val="0009778D"/>
    <w:rsid w:val="000A1292"/>
    <w:rsid w:val="000A28C8"/>
    <w:rsid w:val="000A6A11"/>
    <w:rsid w:val="000B2730"/>
    <w:rsid w:val="000B56DD"/>
    <w:rsid w:val="000B58D7"/>
    <w:rsid w:val="000B642B"/>
    <w:rsid w:val="000B66B4"/>
    <w:rsid w:val="000C3E8A"/>
    <w:rsid w:val="000C437C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40075"/>
    <w:rsid w:val="00140AD3"/>
    <w:rsid w:val="00142C39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80517"/>
    <w:rsid w:val="001805C2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0343"/>
    <w:rsid w:val="001F3190"/>
    <w:rsid w:val="00200EA1"/>
    <w:rsid w:val="00205A16"/>
    <w:rsid w:val="00210411"/>
    <w:rsid w:val="00217A3E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27F3"/>
    <w:rsid w:val="002C726B"/>
    <w:rsid w:val="002D1F23"/>
    <w:rsid w:val="002D4C8A"/>
    <w:rsid w:val="002E1C59"/>
    <w:rsid w:val="002E4E06"/>
    <w:rsid w:val="002F0219"/>
    <w:rsid w:val="002F0BC4"/>
    <w:rsid w:val="002F457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41250"/>
    <w:rsid w:val="00344121"/>
    <w:rsid w:val="00350C01"/>
    <w:rsid w:val="00351292"/>
    <w:rsid w:val="003543A4"/>
    <w:rsid w:val="00355C4A"/>
    <w:rsid w:val="003659CF"/>
    <w:rsid w:val="00365F3A"/>
    <w:rsid w:val="00366505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2E3A"/>
    <w:rsid w:val="003A4A7E"/>
    <w:rsid w:val="003B04B5"/>
    <w:rsid w:val="003B29BD"/>
    <w:rsid w:val="003B636C"/>
    <w:rsid w:val="003C3C07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348F0"/>
    <w:rsid w:val="00442455"/>
    <w:rsid w:val="004517B0"/>
    <w:rsid w:val="00473517"/>
    <w:rsid w:val="004769B0"/>
    <w:rsid w:val="004769BD"/>
    <w:rsid w:val="004806C2"/>
    <w:rsid w:val="0048234C"/>
    <w:rsid w:val="00486B51"/>
    <w:rsid w:val="0049115D"/>
    <w:rsid w:val="004971D6"/>
    <w:rsid w:val="00497D4A"/>
    <w:rsid w:val="004A5080"/>
    <w:rsid w:val="004A679D"/>
    <w:rsid w:val="004B1D0F"/>
    <w:rsid w:val="004B3C45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E620D"/>
    <w:rsid w:val="004E7E58"/>
    <w:rsid w:val="004F0E0E"/>
    <w:rsid w:val="004F3156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52AD"/>
    <w:rsid w:val="00516F3A"/>
    <w:rsid w:val="00524426"/>
    <w:rsid w:val="00525470"/>
    <w:rsid w:val="005266C6"/>
    <w:rsid w:val="00527DBC"/>
    <w:rsid w:val="00530CC6"/>
    <w:rsid w:val="00532D4A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51F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E2EC6"/>
    <w:rsid w:val="005E4DE3"/>
    <w:rsid w:val="005F1890"/>
    <w:rsid w:val="005F3C6B"/>
    <w:rsid w:val="005F463A"/>
    <w:rsid w:val="00600CFD"/>
    <w:rsid w:val="006018F6"/>
    <w:rsid w:val="006021B1"/>
    <w:rsid w:val="0060354D"/>
    <w:rsid w:val="0060460B"/>
    <w:rsid w:val="006061B7"/>
    <w:rsid w:val="0060645F"/>
    <w:rsid w:val="00610EB1"/>
    <w:rsid w:val="00611824"/>
    <w:rsid w:val="00612293"/>
    <w:rsid w:val="00612EB5"/>
    <w:rsid w:val="00616EE9"/>
    <w:rsid w:val="00627DBF"/>
    <w:rsid w:val="006317D4"/>
    <w:rsid w:val="0063719D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8D1"/>
    <w:rsid w:val="00681546"/>
    <w:rsid w:val="006830B2"/>
    <w:rsid w:val="00685B40"/>
    <w:rsid w:val="00685DA4"/>
    <w:rsid w:val="00690443"/>
    <w:rsid w:val="00691819"/>
    <w:rsid w:val="00694564"/>
    <w:rsid w:val="006B02B5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ADC"/>
    <w:rsid w:val="006E6114"/>
    <w:rsid w:val="006E7BB4"/>
    <w:rsid w:val="006F0A4C"/>
    <w:rsid w:val="006F0EFB"/>
    <w:rsid w:val="006F2B4A"/>
    <w:rsid w:val="00700BAA"/>
    <w:rsid w:val="00700C97"/>
    <w:rsid w:val="00702AD7"/>
    <w:rsid w:val="00706F2C"/>
    <w:rsid w:val="00710F9A"/>
    <w:rsid w:val="00712383"/>
    <w:rsid w:val="00712A99"/>
    <w:rsid w:val="00714642"/>
    <w:rsid w:val="00715557"/>
    <w:rsid w:val="00717041"/>
    <w:rsid w:val="00721A71"/>
    <w:rsid w:val="00730420"/>
    <w:rsid w:val="00731086"/>
    <w:rsid w:val="00731415"/>
    <w:rsid w:val="00731A8C"/>
    <w:rsid w:val="007376AD"/>
    <w:rsid w:val="0074703A"/>
    <w:rsid w:val="00752C81"/>
    <w:rsid w:val="00753013"/>
    <w:rsid w:val="007539FA"/>
    <w:rsid w:val="00757435"/>
    <w:rsid w:val="00760D0E"/>
    <w:rsid w:val="007611EC"/>
    <w:rsid w:val="00762B15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05DF"/>
    <w:rsid w:val="007C1A15"/>
    <w:rsid w:val="007C7C78"/>
    <w:rsid w:val="007D2C16"/>
    <w:rsid w:val="007D6A06"/>
    <w:rsid w:val="007D7F77"/>
    <w:rsid w:val="007E04F6"/>
    <w:rsid w:val="007E2326"/>
    <w:rsid w:val="007E4F24"/>
    <w:rsid w:val="007E782B"/>
    <w:rsid w:val="008042C8"/>
    <w:rsid w:val="0081126D"/>
    <w:rsid w:val="008161F3"/>
    <w:rsid w:val="00820CC4"/>
    <w:rsid w:val="0082595C"/>
    <w:rsid w:val="00825FA7"/>
    <w:rsid w:val="00832412"/>
    <w:rsid w:val="00851168"/>
    <w:rsid w:val="008575D7"/>
    <w:rsid w:val="008615B8"/>
    <w:rsid w:val="00861777"/>
    <w:rsid w:val="00867FC9"/>
    <w:rsid w:val="00870373"/>
    <w:rsid w:val="00871490"/>
    <w:rsid w:val="00873D6A"/>
    <w:rsid w:val="008746AC"/>
    <w:rsid w:val="008773F4"/>
    <w:rsid w:val="008774B6"/>
    <w:rsid w:val="00883905"/>
    <w:rsid w:val="008862B0"/>
    <w:rsid w:val="00890196"/>
    <w:rsid w:val="008905D5"/>
    <w:rsid w:val="00892317"/>
    <w:rsid w:val="008A0559"/>
    <w:rsid w:val="008A154E"/>
    <w:rsid w:val="008A6C8A"/>
    <w:rsid w:val="008B6C77"/>
    <w:rsid w:val="008C478D"/>
    <w:rsid w:val="008C5F8F"/>
    <w:rsid w:val="008D11F6"/>
    <w:rsid w:val="008D1504"/>
    <w:rsid w:val="008D1A10"/>
    <w:rsid w:val="008E6152"/>
    <w:rsid w:val="008F066E"/>
    <w:rsid w:val="008F36D5"/>
    <w:rsid w:val="008F5A86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2D7D"/>
    <w:rsid w:val="00943292"/>
    <w:rsid w:val="00944056"/>
    <w:rsid w:val="00945C60"/>
    <w:rsid w:val="00946A46"/>
    <w:rsid w:val="0095408A"/>
    <w:rsid w:val="0095482B"/>
    <w:rsid w:val="00956232"/>
    <w:rsid w:val="009615BB"/>
    <w:rsid w:val="009674DD"/>
    <w:rsid w:val="0097266B"/>
    <w:rsid w:val="00972A6D"/>
    <w:rsid w:val="00973F9C"/>
    <w:rsid w:val="0097525B"/>
    <w:rsid w:val="00976AF5"/>
    <w:rsid w:val="0097729F"/>
    <w:rsid w:val="00985BEF"/>
    <w:rsid w:val="0099527B"/>
    <w:rsid w:val="0099730F"/>
    <w:rsid w:val="009A0A6A"/>
    <w:rsid w:val="009A4A9C"/>
    <w:rsid w:val="009A6A06"/>
    <w:rsid w:val="009B399F"/>
    <w:rsid w:val="009B3D50"/>
    <w:rsid w:val="009C0023"/>
    <w:rsid w:val="009C2582"/>
    <w:rsid w:val="009C5BFF"/>
    <w:rsid w:val="009C7A2E"/>
    <w:rsid w:val="009D6195"/>
    <w:rsid w:val="009E0CFE"/>
    <w:rsid w:val="009E7766"/>
    <w:rsid w:val="009F695D"/>
    <w:rsid w:val="009F7854"/>
    <w:rsid w:val="00A02C27"/>
    <w:rsid w:val="00A05A90"/>
    <w:rsid w:val="00A0741A"/>
    <w:rsid w:val="00A1250F"/>
    <w:rsid w:val="00A13E37"/>
    <w:rsid w:val="00A14EEA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223F"/>
    <w:rsid w:val="00A652DA"/>
    <w:rsid w:val="00A74B95"/>
    <w:rsid w:val="00A759F4"/>
    <w:rsid w:val="00A76973"/>
    <w:rsid w:val="00A769B8"/>
    <w:rsid w:val="00A77C0F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3A4"/>
    <w:rsid w:val="00AC5ADF"/>
    <w:rsid w:val="00AD01B3"/>
    <w:rsid w:val="00AD1243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B02445"/>
    <w:rsid w:val="00B06E76"/>
    <w:rsid w:val="00B07C5A"/>
    <w:rsid w:val="00B11B40"/>
    <w:rsid w:val="00B2026A"/>
    <w:rsid w:val="00B224C3"/>
    <w:rsid w:val="00B2375D"/>
    <w:rsid w:val="00B2530C"/>
    <w:rsid w:val="00B27762"/>
    <w:rsid w:val="00B306F7"/>
    <w:rsid w:val="00B31D0C"/>
    <w:rsid w:val="00B333AF"/>
    <w:rsid w:val="00B37C0A"/>
    <w:rsid w:val="00B42A77"/>
    <w:rsid w:val="00B50A80"/>
    <w:rsid w:val="00B552A3"/>
    <w:rsid w:val="00B568AD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95CA9"/>
    <w:rsid w:val="00B9700B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6E05"/>
    <w:rsid w:val="00BD7944"/>
    <w:rsid w:val="00BE2D5A"/>
    <w:rsid w:val="00BF1482"/>
    <w:rsid w:val="00BF5614"/>
    <w:rsid w:val="00BF63DB"/>
    <w:rsid w:val="00BF7A0E"/>
    <w:rsid w:val="00BF7E71"/>
    <w:rsid w:val="00C01689"/>
    <w:rsid w:val="00C059E9"/>
    <w:rsid w:val="00C05B6F"/>
    <w:rsid w:val="00C10A32"/>
    <w:rsid w:val="00C1400C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20DA"/>
    <w:rsid w:val="00C85B03"/>
    <w:rsid w:val="00C8607D"/>
    <w:rsid w:val="00C8671D"/>
    <w:rsid w:val="00C91364"/>
    <w:rsid w:val="00C94F22"/>
    <w:rsid w:val="00CA178E"/>
    <w:rsid w:val="00CA2311"/>
    <w:rsid w:val="00CA3D24"/>
    <w:rsid w:val="00CA454D"/>
    <w:rsid w:val="00CB1C52"/>
    <w:rsid w:val="00CC01C6"/>
    <w:rsid w:val="00CC158B"/>
    <w:rsid w:val="00CC69B7"/>
    <w:rsid w:val="00CC7C97"/>
    <w:rsid w:val="00CD1D66"/>
    <w:rsid w:val="00CD2D56"/>
    <w:rsid w:val="00CF75EA"/>
    <w:rsid w:val="00D07B7E"/>
    <w:rsid w:val="00D11CBC"/>
    <w:rsid w:val="00D13C14"/>
    <w:rsid w:val="00D1443A"/>
    <w:rsid w:val="00D14A0F"/>
    <w:rsid w:val="00D26155"/>
    <w:rsid w:val="00D30B2F"/>
    <w:rsid w:val="00D31F67"/>
    <w:rsid w:val="00D37221"/>
    <w:rsid w:val="00D40F23"/>
    <w:rsid w:val="00D41713"/>
    <w:rsid w:val="00D4194E"/>
    <w:rsid w:val="00D42767"/>
    <w:rsid w:val="00D474F1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767F3"/>
    <w:rsid w:val="00D80840"/>
    <w:rsid w:val="00D80B83"/>
    <w:rsid w:val="00D83DCC"/>
    <w:rsid w:val="00D87701"/>
    <w:rsid w:val="00D919E0"/>
    <w:rsid w:val="00D91E2A"/>
    <w:rsid w:val="00D924B1"/>
    <w:rsid w:val="00D9681D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41"/>
    <w:rsid w:val="00DD0ED1"/>
    <w:rsid w:val="00DD6F79"/>
    <w:rsid w:val="00DE3FF2"/>
    <w:rsid w:val="00DE67C0"/>
    <w:rsid w:val="00DF5F26"/>
    <w:rsid w:val="00DF780C"/>
    <w:rsid w:val="00DF7AA6"/>
    <w:rsid w:val="00E02F27"/>
    <w:rsid w:val="00E1080F"/>
    <w:rsid w:val="00E20B4C"/>
    <w:rsid w:val="00E20C2F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2EE4"/>
    <w:rsid w:val="00E63603"/>
    <w:rsid w:val="00E65730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519"/>
    <w:rsid w:val="00ED7170"/>
    <w:rsid w:val="00EE275B"/>
    <w:rsid w:val="00EE4284"/>
    <w:rsid w:val="00EE6657"/>
    <w:rsid w:val="00EF42D4"/>
    <w:rsid w:val="00EF5ED2"/>
    <w:rsid w:val="00EF733F"/>
    <w:rsid w:val="00EF7830"/>
    <w:rsid w:val="00F00EC8"/>
    <w:rsid w:val="00F022B3"/>
    <w:rsid w:val="00F032E1"/>
    <w:rsid w:val="00F04BCD"/>
    <w:rsid w:val="00F06AC0"/>
    <w:rsid w:val="00F21598"/>
    <w:rsid w:val="00F2164C"/>
    <w:rsid w:val="00F24104"/>
    <w:rsid w:val="00F25691"/>
    <w:rsid w:val="00F25F58"/>
    <w:rsid w:val="00F328C0"/>
    <w:rsid w:val="00F33502"/>
    <w:rsid w:val="00F3661B"/>
    <w:rsid w:val="00F3788D"/>
    <w:rsid w:val="00F4306A"/>
    <w:rsid w:val="00F50A05"/>
    <w:rsid w:val="00F5232F"/>
    <w:rsid w:val="00F53087"/>
    <w:rsid w:val="00F56FBB"/>
    <w:rsid w:val="00F60BF8"/>
    <w:rsid w:val="00F639A2"/>
    <w:rsid w:val="00F64F44"/>
    <w:rsid w:val="00F651BD"/>
    <w:rsid w:val="00F677F9"/>
    <w:rsid w:val="00F67B1B"/>
    <w:rsid w:val="00F7133D"/>
    <w:rsid w:val="00F73B5E"/>
    <w:rsid w:val="00F763C0"/>
    <w:rsid w:val="00F76E93"/>
    <w:rsid w:val="00F77D90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3B28"/>
    <w:rsid w:val="00FD4437"/>
    <w:rsid w:val="00FD5AB0"/>
    <w:rsid w:val="00FE112A"/>
    <w:rsid w:val="00FE19BF"/>
    <w:rsid w:val="00FE26DD"/>
    <w:rsid w:val="00FE2A84"/>
    <w:rsid w:val="00FE4A04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01C70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Павельчук Іра</cp:lastModifiedBy>
  <cp:revision>37</cp:revision>
  <cp:lastPrinted>2021-12-09T08:46:00Z</cp:lastPrinted>
  <dcterms:created xsi:type="dcterms:W3CDTF">2021-12-08T13:31:00Z</dcterms:created>
  <dcterms:modified xsi:type="dcterms:W3CDTF">2022-02-23T15:11:00Z</dcterms:modified>
</cp:coreProperties>
</file>