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 </w:t>
      </w:r>
      <w:r w:rsidR="00477062">
        <w:rPr>
          <w:b/>
          <w:sz w:val="32"/>
          <w:szCs w:val="32"/>
        </w:rPr>
        <w:t>жовт</w:t>
      </w:r>
      <w:r w:rsidR="00875AC0">
        <w:rPr>
          <w:b/>
          <w:sz w:val="32"/>
          <w:szCs w:val="32"/>
        </w:rPr>
        <w:t>ень</w:t>
      </w:r>
      <w:r w:rsidR="00F00EC8">
        <w:rPr>
          <w:b/>
          <w:sz w:val="32"/>
          <w:szCs w:val="32"/>
        </w:rPr>
        <w:t xml:space="preserve"> </w:t>
      </w:r>
      <w:r w:rsidR="00F00EC8" w:rsidRPr="00BD6E05">
        <w:rPr>
          <w:b/>
          <w:sz w:val="32"/>
          <w:szCs w:val="32"/>
        </w:rPr>
        <w:t>202</w:t>
      </w:r>
      <w:r w:rsidR="00B77EC5">
        <w:rPr>
          <w:b/>
          <w:sz w:val="32"/>
          <w:szCs w:val="32"/>
        </w:rPr>
        <w:t>3</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 xml:space="preserve">За даними звіту управління Державної казначейської служби України у </w:t>
      </w:r>
      <w:proofErr w:type="spellStart"/>
      <w:r w:rsidRPr="00B947BE">
        <w:rPr>
          <w:sz w:val="28"/>
          <w:szCs w:val="28"/>
        </w:rPr>
        <w:t>м.Вараші</w:t>
      </w:r>
      <w:proofErr w:type="spellEnd"/>
      <w:r w:rsidRPr="00B947BE">
        <w:rPr>
          <w:sz w:val="28"/>
          <w:szCs w:val="28"/>
        </w:rPr>
        <w:t xml:space="preserve"> про виконання місцевих бюджетів за січень</w:t>
      </w:r>
      <w:r w:rsidR="002D7879" w:rsidRPr="00B947BE">
        <w:rPr>
          <w:sz w:val="28"/>
          <w:szCs w:val="28"/>
        </w:rPr>
        <w:t>-</w:t>
      </w:r>
      <w:r w:rsidR="00477062">
        <w:rPr>
          <w:sz w:val="28"/>
          <w:szCs w:val="28"/>
        </w:rPr>
        <w:t>жовт</w:t>
      </w:r>
      <w:r w:rsidR="00D71029">
        <w:rPr>
          <w:sz w:val="28"/>
          <w:szCs w:val="28"/>
        </w:rPr>
        <w:t>е</w:t>
      </w:r>
      <w:r w:rsidR="003D10B8" w:rsidRPr="00B947BE">
        <w:rPr>
          <w:sz w:val="28"/>
          <w:szCs w:val="28"/>
        </w:rPr>
        <w:t>нь</w:t>
      </w:r>
      <w:r w:rsidRPr="00B947BE">
        <w:rPr>
          <w:sz w:val="28"/>
          <w:szCs w:val="28"/>
        </w:rPr>
        <w:t xml:space="preserve"> 202</w:t>
      </w:r>
      <w:r w:rsidR="006D3252" w:rsidRPr="00B947BE">
        <w:rPr>
          <w:sz w:val="28"/>
          <w:szCs w:val="28"/>
        </w:rPr>
        <w:t>3</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477062">
        <w:rPr>
          <w:b/>
          <w:sz w:val="28"/>
          <w:szCs w:val="28"/>
        </w:rPr>
        <w:t>820725,1</w:t>
      </w:r>
      <w:r w:rsidR="006D3252" w:rsidRPr="00B947BE">
        <w:rPr>
          <w:b/>
          <w:sz w:val="28"/>
          <w:szCs w:val="28"/>
        </w:rPr>
        <w:t xml:space="preserve"> </w:t>
      </w:r>
      <w:r w:rsidRPr="00B947BE">
        <w:rPr>
          <w:b/>
          <w:sz w:val="28"/>
          <w:szCs w:val="28"/>
        </w:rPr>
        <w:t>тис.грн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B947BE">
        <w:rPr>
          <w:i/>
          <w:sz w:val="28"/>
          <w:szCs w:val="28"/>
        </w:rPr>
        <w:t xml:space="preserve">Доходи загального фонду </w:t>
      </w:r>
      <w:r w:rsidRPr="00B947BE">
        <w:rPr>
          <w:sz w:val="28"/>
          <w:szCs w:val="28"/>
        </w:rPr>
        <w:t xml:space="preserve">бюджету (без урахування офіційних трансфертів) склали </w:t>
      </w:r>
      <w:r w:rsidR="00477062">
        <w:rPr>
          <w:b/>
          <w:sz w:val="28"/>
          <w:szCs w:val="28"/>
          <w:lang w:val="ru-RU"/>
        </w:rPr>
        <w:t>685663,3</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3D35F8">
        <w:rPr>
          <w:b/>
          <w:sz w:val="28"/>
          <w:szCs w:val="28"/>
          <w:lang w:val="ru-RU"/>
        </w:rPr>
        <w:t>101,</w:t>
      </w:r>
      <w:r w:rsidR="00477062">
        <w:rPr>
          <w:b/>
          <w:sz w:val="28"/>
          <w:szCs w:val="28"/>
          <w:lang w:val="ru-RU"/>
        </w:rPr>
        <w:t>6</w:t>
      </w:r>
      <w:r w:rsidR="00B2359A" w:rsidRPr="00B947BE">
        <w:rPr>
          <w:b/>
          <w:sz w:val="28"/>
          <w:szCs w:val="28"/>
          <w:lang w:val="ru-RU"/>
        </w:rPr>
        <w:t>%</w:t>
      </w:r>
      <w:r w:rsidR="00B96507" w:rsidRPr="00B947BE">
        <w:rPr>
          <w:b/>
          <w:sz w:val="28"/>
          <w:szCs w:val="28"/>
        </w:rPr>
        <w:t xml:space="preserve"> </w:t>
      </w:r>
      <w:r w:rsidR="007F7061" w:rsidRPr="00B947BE">
        <w:rPr>
          <w:b/>
          <w:sz w:val="28"/>
          <w:szCs w:val="28"/>
        </w:rPr>
        <w:t>(</w:t>
      </w:r>
      <w:r w:rsidR="002D7879" w:rsidRPr="00B947BE">
        <w:rPr>
          <w:sz w:val="28"/>
          <w:szCs w:val="28"/>
        </w:rPr>
        <w:t>+</w:t>
      </w:r>
      <w:r w:rsidR="006D3252" w:rsidRPr="00B947BE">
        <w:rPr>
          <w:b/>
          <w:sz w:val="28"/>
          <w:szCs w:val="28"/>
        </w:rPr>
        <w:t xml:space="preserve"> </w:t>
      </w:r>
      <w:r w:rsidR="00477062">
        <w:rPr>
          <w:b/>
          <w:sz w:val="28"/>
          <w:szCs w:val="28"/>
          <w:lang w:val="ru-RU"/>
        </w:rPr>
        <w:t>11120,1</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3D35F8">
        <w:rPr>
          <w:b/>
          <w:sz w:val="28"/>
          <w:szCs w:val="28"/>
          <w:lang w:val="ru-RU"/>
        </w:rPr>
        <w:t>114,</w:t>
      </w:r>
      <w:r w:rsidR="00477062">
        <w:rPr>
          <w:b/>
          <w:sz w:val="28"/>
          <w:szCs w:val="28"/>
          <w:lang w:val="ru-RU"/>
        </w:rPr>
        <w:t>5</w:t>
      </w:r>
      <w:r w:rsidRPr="00B947BE">
        <w:rPr>
          <w:b/>
          <w:sz w:val="28"/>
          <w:szCs w:val="28"/>
        </w:rPr>
        <w:t>%</w:t>
      </w:r>
      <w:r w:rsidRPr="00B947BE">
        <w:rPr>
          <w:sz w:val="28"/>
          <w:szCs w:val="28"/>
        </w:rPr>
        <w:t xml:space="preserve"> (</w:t>
      </w:r>
      <w:r w:rsidR="003D10B8" w:rsidRPr="00B947BE">
        <w:rPr>
          <w:b/>
          <w:sz w:val="28"/>
          <w:szCs w:val="28"/>
        </w:rPr>
        <w:t>+</w:t>
      </w:r>
      <w:r w:rsidR="00477062">
        <w:rPr>
          <w:b/>
          <w:sz w:val="28"/>
          <w:szCs w:val="28"/>
        </w:rPr>
        <w:t xml:space="preserve"> </w:t>
      </w:r>
      <w:r w:rsidR="00477062">
        <w:rPr>
          <w:b/>
          <w:sz w:val="28"/>
          <w:szCs w:val="28"/>
          <w:lang w:val="ru-RU"/>
        </w:rPr>
        <w:t>86830,6</w:t>
      </w:r>
      <w:r w:rsidR="006D3252" w:rsidRPr="00B947BE">
        <w:rPr>
          <w:b/>
          <w:sz w:val="28"/>
          <w:szCs w:val="28"/>
        </w:rPr>
        <w:t xml:space="preserve"> </w:t>
      </w:r>
      <w:r w:rsidRPr="00B947BE">
        <w:rPr>
          <w:b/>
          <w:sz w:val="28"/>
          <w:szCs w:val="28"/>
        </w:rPr>
        <w:t>тис.грн</w:t>
      </w:r>
      <w:r w:rsidRPr="00B947BE">
        <w:rPr>
          <w:sz w:val="28"/>
          <w:szCs w:val="28"/>
        </w:rPr>
        <w:t>) до показника відповідного періоду 202</w:t>
      </w:r>
      <w:r w:rsidR="006D3252" w:rsidRPr="00B947BE">
        <w:rPr>
          <w:sz w:val="28"/>
          <w:szCs w:val="28"/>
        </w:rPr>
        <w:t>2</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В структурі власних доходів загального фонду бюджету податок та збір на доходи фізичних осіб</w:t>
      </w:r>
      <w:r w:rsidRPr="00270264">
        <w:rPr>
          <w:b/>
          <w:sz w:val="28"/>
          <w:szCs w:val="28"/>
        </w:rPr>
        <w:t xml:space="preserve"> </w:t>
      </w:r>
      <w:r w:rsidRPr="00270264">
        <w:rPr>
          <w:sz w:val="28"/>
          <w:szCs w:val="28"/>
        </w:rPr>
        <w:t>займає</w:t>
      </w:r>
      <w:r w:rsidRPr="00270264">
        <w:rPr>
          <w:b/>
          <w:sz w:val="28"/>
          <w:szCs w:val="28"/>
        </w:rPr>
        <w:t xml:space="preserve"> </w:t>
      </w:r>
      <w:r w:rsidR="00ED7A7C">
        <w:rPr>
          <w:b/>
          <w:sz w:val="28"/>
          <w:szCs w:val="28"/>
          <w:lang w:val="ru-RU"/>
        </w:rPr>
        <w:t>86,</w:t>
      </w:r>
      <w:r w:rsidR="00485E0C">
        <w:rPr>
          <w:b/>
          <w:sz w:val="28"/>
          <w:szCs w:val="28"/>
          <w:lang w:val="ru-RU"/>
        </w:rPr>
        <w:t>2</w:t>
      </w:r>
      <w:r w:rsidRPr="00270264">
        <w:rPr>
          <w:b/>
          <w:sz w:val="28"/>
          <w:szCs w:val="28"/>
        </w:rPr>
        <w:t>%</w:t>
      </w:r>
      <w:r w:rsidRPr="00270264">
        <w:rPr>
          <w:sz w:val="28"/>
          <w:szCs w:val="28"/>
        </w:rPr>
        <w:t xml:space="preserve">, його надходження склали </w:t>
      </w:r>
      <w:r w:rsidR="00485E0C">
        <w:rPr>
          <w:b/>
          <w:sz w:val="28"/>
          <w:szCs w:val="28"/>
          <w:lang w:val="ru-RU"/>
        </w:rPr>
        <w:t>591097,3</w:t>
      </w:r>
      <w:r w:rsidRPr="00613B10">
        <w:rPr>
          <w:b/>
          <w:sz w:val="28"/>
          <w:szCs w:val="28"/>
        </w:rPr>
        <w:t> тис.грн</w:t>
      </w:r>
      <w:r w:rsidRPr="00613B10">
        <w:rPr>
          <w:sz w:val="28"/>
          <w:szCs w:val="28"/>
        </w:rPr>
        <w:t>,</w:t>
      </w:r>
      <w:r w:rsidRPr="00270264">
        <w:rPr>
          <w:sz w:val="28"/>
          <w:szCs w:val="28"/>
        </w:rPr>
        <w:t xml:space="preserve"> що </w:t>
      </w:r>
      <w:r w:rsidR="001D7B43" w:rsidRPr="00270264">
        <w:rPr>
          <w:sz w:val="28"/>
          <w:szCs w:val="28"/>
        </w:rPr>
        <w:t xml:space="preserve">на </w:t>
      </w:r>
      <w:r w:rsidR="00485E0C">
        <w:rPr>
          <w:b/>
          <w:sz w:val="28"/>
          <w:szCs w:val="28"/>
          <w:lang w:val="ru-RU"/>
        </w:rPr>
        <w:t>4743,4</w:t>
      </w:r>
      <w:r w:rsidR="001D7B43" w:rsidRPr="00270264">
        <w:rPr>
          <w:b/>
          <w:sz w:val="28"/>
          <w:szCs w:val="28"/>
        </w:rPr>
        <w:t xml:space="preserve"> тис.грн</w:t>
      </w:r>
      <w:r w:rsidR="001D7B43" w:rsidRPr="00270264">
        <w:rPr>
          <w:sz w:val="28"/>
          <w:szCs w:val="28"/>
        </w:rPr>
        <w:t xml:space="preserve">, або на </w:t>
      </w:r>
      <w:r w:rsidR="00ED7A7C">
        <w:rPr>
          <w:b/>
          <w:sz w:val="28"/>
          <w:szCs w:val="28"/>
          <w:lang w:val="ru-RU"/>
        </w:rPr>
        <w:t>0,</w:t>
      </w:r>
      <w:r w:rsidR="00485E0C">
        <w:rPr>
          <w:b/>
          <w:sz w:val="28"/>
          <w:szCs w:val="28"/>
          <w:lang w:val="ru-RU"/>
        </w:rPr>
        <w:t>8</w:t>
      </w:r>
      <w:r w:rsidR="001D7B43" w:rsidRPr="00270264">
        <w:rPr>
          <w:b/>
          <w:sz w:val="28"/>
          <w:szCs w:val="28"/>
        </w:rPr>
        <w:t xml:space="preserve"> %</w:t>
      </w:r>
      <w:r w:rsidR="001D7B43" w:rsidRPr="00270264">
        <w:rPr>
          <w:sz w:val="28"/>
          <w:szCs w:val="28"/>
        </w:rPr>
        <w:t xml:space="preserve">, більше планового показника та </w:t>
      </w:r>
      <w:r w:rsidRPr="00270264">
        <w:rPr>
          <w:sz w:val="28"/>
          <w:szCs w:val="28"/>
        </w:rPr>
        <w:t xml:space="preserve">на </w:t>
      </w:r>
      <w:r w:rsidR="00773BED">
        <w:rPr>
          <w:b/>
          <w:sz w:val="28"/>
          <w:szCs w:val="28"/>
        </w:rPr>
        <w:t> </w:t>
      </w:r>
      <w:r w:rsidR="00485E0C">
        <w:rPr>
          <w:b/>
          <w:sz w:val="28"/>
          <w:szCs w:val="28"/>
          <w:lang w:val="ru-RU"/>
        </w:rPr>
        <w:t>65331,9</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485E0C">
        <w:rPr>
          <w:b/>
          <w:sz w:val="28"/>
          <w:szCs w:val="28"/>
        </w:rPr>
        <w:t>12,4</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за відповідний період минулого року.</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складає </w:t>
      </w:r>
      <w:r w:rsidR="00D700A1" w:rsidRPr="004C3A41">
        <w:rPr>
          <w:b/>
          <w:sz w:val="28"/>
          <w:szCs w:val="28"/>
        </w:rPr>
        <w:t>9,</w:t>
      </w:r>
      <w:r w:rsidR="00783897">
        <w:rPr>
          <w:b/>
          <w:sz w:val="28"/>
          <w:szCs w:val="28"/>
        </w:rPr>
        <w:t>7</w:t>
      </w:r>
      <w:r w:rsidRPr="004C3A41">
        <w:rPr>
          <w:b/>
          <w:sz w:val="28"/>
          <w:szCs w:val="28"/>
        </w:rPr>
        <w:t>%</w:t>
      </w:r>
      <w:r w:rsidRPr="004C3A41">
        <w:rPr>
          <w:sz w:val="28"/>
          <w:szCs w:val="28"/>
        </w:rPr>
        <w:t xml:space="preserve">. Фактичні їх надходження склали </w:t>
      </w:r>
      <w:r w:rsidR="00783897">
        <w:rPr>
          <w:b/>
          <w:sz w:val="28"/>
          <w:szCs w:val="28"/>
          <w:lang w:val="ru-RU"/>
        </w:rPr>
        <w:t>66512,5</w:t>
      </w:r>
      <w:r w:rsidR="00A854EB" w:rsidRPr="004C3A41">
        <w:rPr>
          <w:b/>
          <w:sz w:val="28"/>
          <w:szCs w:val="28"/>
        </w:rPr>
        <w:t xml:space="preserve"> </w:t>
      </w:r>
      <w:r w:rsidR="00613B10">
        <w:rPr>
          <w:b/>
          <w:sz w:val="28"/>
          <w:szCs w:val="28"/>
        </w:rPr>
        <w:t>тис.</w:t>
      </w:r>
      <w:r w:rsidRPr="00613B10">
        <w:rPr>
          <w:b/>
          <w:sz w:val="28"/>
          <w:szCs w:val="28"/>
        </w:rPr>
        <w:t>грн</w:t>
      </w:r>
      <w:r w:rsidRPr="004C3A41">
        <w:rPr>
          <w:sz w:val="28"/>
          <w:szCs w:val="28"/>
        </w:rPr>
        <w:t xml:space="preserve">, що </w:t>
      </w:r>
      <w:r w:rsidR="00006415" w:rsidRPr="004C3A41">
        <w:rPr>
          <w:sz w:val="28"/>
          <w:szCs w:val="28"/>
        </w:rPr>
        <w:t xml:space="preserve">на </w:t>
      </w:r>
      <w:r w:rsidR="00783897">
        <w:rPr>
          <w:b/>
          <w:sz w:val="28"/>
          <w:szCs w:val="28"/>
          <w:lang w:val="ru-RU"/>
        </w:rPr>
        <w:t>3587,6</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783897">
        <w:rPr>
          <w:b/>
          <w:sz w:val="28"/>
          <w:szCs w:val="28"/>
          <w:lang w:val="ru-RU"/>
        </w:rPr>
        <w:t>5,7</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783897">
        <w:rPr>
          <w:b/>
          <w:sz w:val="28"/>
          <w:szCs w:val="28"/>
          <w:lang w:val="ru-RU"/>
        </w:rPr>
        <w:t>10563,0</w:t>
      </w:r>
      <w:r w:rsidRPr="004C3A41">
        <w:rPr>
          <w:b/>
          <w:sz w:val="28"/>
          <w:szCs w:val="28"/>
        </w:rPr>
        <w:t> </w:t>
      </w:r>
      <w:r w:rsidRPr="00613B10">
        <w:rPr>
          <w:b/>
          <w:sz w:val="28"/>
          <w:szCs w:val="28"/>
        </w:rPr>
        <w:t>тис.грн,</w:t>
      </w:r>
      <w:r w:rsidRPr="004C3A41">
        <w:rPr>
          <w:sz w:val="28"/>
          <w:szCs w:val="28"/>
        </w:rPr>
        <w:t xml:space="preserve"> або на </w:t>
      </w:r>
      <w:r w:rsidR="008D66F4">
        <w:rPr>
          <w:b/>
          <w:sz w:val="28"/>
          <w:szCs w:val="28"/>
          <w:lang w:val="ru-RU"/>
        </w:rPr>
        <w:t>18,</w:t>
      </w:r>
      <w:r w:rsidR="00783897">
        <w:rPr>
          <w:b/>
          <w:sz w:val="28"/>
          <w:szCs w:val="28"/>
          <w:lang w:val="ru-RU"/>
        </w:rPr>
        <w:t>9</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проти таких надходжень за відповідний період минулого року.</w:t>
      </w:r>
      <w:r w:rsidRPr="004C3A41">
        <w:rPr>
          <w:b/>
          <w:sz w:val="28"/>
          <w:szCs w:val="28"/>
        </w:rPr>
        <w:t xml:space="preserve"> </w:t>
      </w:r>
      <w:r w:rsidRPr="004C3A41">
        <w:rPr>
          <w:sz w:val="28"/>
          <w:szCs w:val="28"/>
        </w:rPr>
        <w:t xml:space="preserve">   </w:t>
      </w:r>
    </w:p>
    <w:p w:rsidR="00497D4A" w:rsidRPr="00A769F0" w:rsidRDefault="00497D4A" w:rsidP="0021157D">
      <w:pPr>
        <w:tabs>
          <w:tab w:val="left" w:pos="567"/>
          <w:tab w:val="left" w:pos="851"/>
        </w:tabs>
        <w:ind w:firstLine="851"/>
        <w:jc w:val="both"/>
        <w:rPr>
          <w:sz w:val="28"/>
          <w:szCs w:val="28"/>
        </w:rPr>
      </w:pPr>
      <w:r w:rsidRPr="00A769F0">
        <w:rPr>
          <w:sz w:val="28"/>
          <w:szCs w:val="28"/>
        </w:rPr>
        <w:t>Найбільша питома вага в структурі надходжень місцевих податків і зборів припадає на:</w:t>
      </w:r>
    </w:p>
    <w:p w:rsidR="009A2B81" w:rsidRPr="007157A5" w:rsidRDefault="009A2B81" w:rsidP="0021157D">
      <w:pPr>
        <w:tabs>
          <w:tab w:val="left" w:pos="567"/>
          <w:tab w:val="left" w:pos="851"/>
        </w:tabs>
        <w:ind w:firstLine="851"/>
        <w:jc w:val="both"/>
        <w:rPr>
          <w:sz w:val="28"/>
          <w:szCs w:val="28"/>
        </w:rPr>
      </w:pPr>
      <w:r w:rsidRPr="007157A5">
        <w:rPr>
          <w:sz w:val="28"/>
          <w:szCs w:val="28"/>
        </w:rPr>
        <w:t xml:space="preserve">плату за землю -  </w:t>
      </w:r>
      <w:r w:rsidR="00EF4C85">
        <w:rPr>
          <w:b/>
          <w:sz w:val="28"/>
          <w:szCs w:val="28"/>
          <w:lang w:val="ru-RU"/>
        </w:rPr>
        <w:t>52,7</w:t>
      </w:r>
      <w:r w:rsidRPr="007157A5">
        <w:rPr>
          <w:b/>
          <w:sz w:val="28"/>
          <w:szCs w:val="28"/>
        </w:rPr>
        <w:t xml:space="preserve">% </w:t>
      </w:r>
      <w:r w:rsidRPr="007157A5">
        <w:rPr>
          <w:sz w:val="28"/>
          <w:szCs w:val="28"/>
        </w:rPr>
        <w:t>(</w:t>
      </w:r>
      <w:r w:rsidR="00EF4C85">
        <w:rPr>
          <w:b/>
          <w:sz w:val="28"/>
          <w:szCs w:val="28"/>
          <w:lang w:val="ru-RU"/>
        </w:rPr>
        <w:t>35046,2</w:t>
      </w:r>
      <w:r w:rsidRPr="007157A5">
        <w:rPr>
          <w:b/>
          <w:sz w:val="28"/>
          <w:szCs w:val="28"/>
        </w:rPr>
        <w:t xml:space="preserve"> тис.грн</w:t>
      </w:r>
      <w:r w:rsidRPr="007157A5">
        <w:rPr>
          <w:sz w:val="28"/>
          <w:szCs w:val="28"/>
        </w:rPr>
        <w:t xml:space="preserve">). Приріст надходжень плати за землю проти відповідного періоду 2022 року склав </w:t>
      </w:r>
      <w:r w:rsidR="005E4A48">
        <w:rPr>
          <w:b/>
          <w:sz w:val="28"/>
          <w:szCs w:val="28"/>
          <w:lang w:val="ru-RU"/>
        </w:rPr>
        <w:t>17,3</w:t>
      </w:r>
      <w:r w:rsidRPr="007157A5">
        <w:rPr>
          <w:b/>
          <w:sz w:val="28"/>
          <w:szCs w:val="28"/>
        </w:rPr>
        <w:t>%</w:t>
      </w:r>
      <w:r w:rsidRPr="007157A5">
        <w:rPr>
          <w:sz w:val="28"/>
          <w:szCs w:val="28"/>
        </w:rPr>
        <w:t xml:space="preserve"> </w:t>
      </w:r>
      <w:r w:rsidRPr="007157A5">
        <w:rPr>
          <w:b/>
          <w:sz w:val="28"/>
          <w:szCs w:val="28"/>
        </w:rPr>
        <w:t>(+</w:t>
      </w:r>
      <w:r w:rsidR="005E4A48">
        <w:rPr>
          <w:b/>
          <w:sz w:val="28"/>
          <w:szCs w:val="28"/>
        </w:rPr>
        <w:t xml:space="preserve"> </w:t>
      </w:r>
      <w:r w:rsidR="005E4A48">
        <w:rPr>
          <w:b/>
          <w:sz w:val="28"/>
          <w:szCs w:val="28"/>
          <w:lang w:val="ru-RU"/>
        </w:rPr>
        <w:t>5180,8</w:t>
      </w:r>
      <w:r w:rsidRPr="007157A5">
        <w:rPr>
          <w:b/>
          <w:sz w:val="28"/>
          <w:szCs w:val="28"/>
        </w:rPr>
        <w:t xml:space="preserve"> тис.грн</w:t>
      </w:r>
      <w:r w:rsidRPr="007157A5">
        <w:rPr>
          <w:sz w:val="28"/>
          <w:szCs w:val="28"/>
        </w:rPr>
        <w:t>);</w:t>
      </w:r>
    </w:p>
    <w:p w:rsidR="003D04D4" w:rsidRDefault="003D04D4" w:rsidP="0021157D">
      <w:pPr>
        <w:tabs>
          <w:tab w:val="left" w:pos="567"/>
          <w:tab w:val="left" w:pos="851"/>
        </w:tabs>
        <w:ind w:firstLine="851"/>
        <w:jc w:val="both"/>
        <w:rPr>
          <w:sz w:val="28"/>
          <w:szCs w:val="28"/>
        </w:rPr>
      </w:pPr>
      <w:r w:rsidRPr="0067642D">
        <w:rPr>
          <w:sz w:val="28"/>
          <w:szCs w:val="28"/>
        </w:rPr>
        <w:t xml:space="preserve">єдиний податок  - </w:t>
      </w:r>
      <w:r w:rsidR="007C7EE7">
        <w:rPr>
          <w:b/>
          <w:sz w:val="28"/>
          <w:szCs w:val="28"/>
          <w:lang w:val="ru-RU"/>
        </w:rPr>
        <w:t>39,</w:t>
      </w:r>
      <w:r w:rsidR="003D0DA0">
        <w:rPr>
          <w:b/>
          <w:sz w:val="28"/>
          <w:szCs w:val="28"/>
          <w:lang w:val="ru-RU"/>
        </w:rPr>
        <w:t>5</w:t>
      </w:r>
      <w:r w:rsidRPr="0067642D">
        <w:rPr>
          <w:b/>
          <w:sz w:val="28"/>
          <w:szCs w:val="28"/>
        </w:rPr>
        <w:t xml:space="preserve">% </w:t>
      </w:r>
      <w:r w:rsidRPr="0067642D">
        <w:rPr>
          <w:sz w:val="28"/>
          <w:szCs w:val="28"/>
        </w:rPr>
        <w:t>(</w:t>
      </w:r>
      <w:r w:rsidR="003D0DA0">
        <w:rPr>
          <w:b/>
          <w:sz w:val="28"/>
          <w:szCs w:val="28"/>
          <w:lang w:val="ru-RU"/>
        </w:rPr>
        <w:t>26304,5</w:t>
      </w:r>
      <w:r w:rsidRPr="0067642D">
        <w:rPr>
          <w:sz w:val="28"/>
          <w:szCs w:val="28"/>
        </w:rPr>
        <w:t xml:space="preserve"> </w:t>
      </w:r>
      <w:r w:rsidRPr="0067642D">
        <w:rPr>
          <w:b/>
          <w:sz w:val="28"/>
          <w:szCs w:val="28"/>
        </w:rPr>
        <w:t>тис.грн</w:t>
      </w:r>
      <w:r w:rsidRPr="0067642D">
        <w:rPr>
          <w:sz w:val="28"/>
          <w:szCs w:val="28"/>
        </w:rPr>
        <w:t xml:space="preserve">). </w:t>
      </w:r>
      <w:r w:rsidR="002E56D9" w:rsidRPr="0067642D">
        <w:rPr>
          <w:sz w:val="28"/>
          <w:szCs w:val="28"/>
        </w:rPr>
        <w:t>Приріст</w:t>
      </w:r>
      <w:r w:rsidRPr="0067642D">
        <w:rPr>
          <w:sz w:val="28"/>
          <w:szCs w:val="28"/>
        </w:rPr>
        <w:t xml:space="preserve"> надходжень єдиного податку проти відповідного періоду 202</w:t>
      </w:r>
      <w:r w:rsidR="00417CB8" w:rsidRPr="0067642D">
        <w:rPr>
          <w:sz w:val="28"/>
          <w:szCs w:val="28"/>
        </w:rPr>
        <w:t>2</w:t>
      </w:r>
      <w:r w:rsidRPr="0067642D">
        <w:rPr>
          <w:sz w:val="28"/>
          <w:szCs w:val="28"/>
        </w:rPr>
        <w:t xml:space="preserve"> року склав </w:t>
      </w:r>
      <w:r w:rsidR="003D0DA0">
        <w:rPr>
          <w:b/>
          <w:sz w:val="28"/>
          <w:szCs w:val="28"/>
          <w:lang w:val="ru-RU"/>
        </w:rPr>
        <w:t>17,1</w:t>
      </w:r>
      <w:r w:rsidRPr="0067642D">
        <w:rPr>
          <w:b/>
          <w:sz w:val="28"/>
          <w:szCs w:val="28"/>
        </w:rPr>
        <w:t>%</w:t>
      </w:r>
      <w:r w:rsidRPr="0067642D">
        <w:rPr>
          <w:sz w:val="28"/>
          <w:szCs w:val="28"/>
        </w:rPr>
        <w:t xml:space="preserve"> (</w:t>
      </w:r>
      <w:r w:rsidR="002E56D9" w:rsidRPr="0067642D">
        <w:rPr>
          <w:sz w:val="28"/>
          <w:szCs w:val="28"/>
        </w:rPr>
        <w:t>+</w:t>
      </w:r>
      <w:r w:rsidR="003D0DA0">
        <w:rPr>
          <w:sz w:val="28"/>
          <w:szCs w:val="28"/>
        </w:rPr>
        <w:t xml:space="preserve"> </w:t>
      </w:r>
      <w:r w:rsidR="003D0DA0">
        <w:rPr>
          <w:b/>
          <w:sz w:val="28"/>
          <w:szCs w:val="28"/>
          <w:lang w:val="ru-RU"/>
        </w:rPr>
        <w:t>3847,5</w:t>
      </w:r>
      <w:r w:rsidRPr="0067642D">
        <w:rPr>
          <w:b/>
          <w:sz w:val="28"/>
          <w:szCs w:val="28"/>
        </w:rPr>
        <w:t xml:space="preserve"> тис.грн</w:t>
      </w:r>
      <w:r w:rsidRPr="0067642D">
        <w:rPr>
          <w:sz w:val="28"/>
          <w:szCs w:val="28"/>
        </w:rPr>
        <w:t>)</w:t>
      </w:r>
      <w:r w:rsidR="00DA3AAC">
        <w:rPr>
          <w:sz w:val="28"/>
          <w:szCs w:val="28"/>
        </w:rPr>
        <w:t>;</w:t>
      </w:r>
    </w:p>
    <w:p w:rsidR="00DA3AAC" w:rsidRPr="0067642D" w:rsidRDefault="00DA3AAC" w:rsidP="0021157D">
      <w:pPr>
        <w:tabs>
          <w:tab w:val="left" w:pos="567"/>
          <w:tab w:val="left" w:pos="851"/>
        </w:tabs>
        <w:ind w:firstLine="851"/>
        <w:jc w:val="both"/>
        <w:rPr>
          <w:sz w:val="28"/>
          <w:szCs w:val="28"/>
        </w:rPr>
      </w:pPr>
      <w:r>
        <w:rPr>
          <w:sz w:val="28"/>
          <w:szCs w:val="28"/>
        </w:rPr>
        <w:t>податку на нерухоме майно, відмінне від земельної ділянки,</w:t>
      </w:r>
      <w:r w:rsidRPr="00DA3AAC">
        <w:rPr>
          <w:sz w:val="28"/>
          <w:szCs w:val="28"/>
        </w:rPr>
        <w:t xml:space="preserve"> </w:t>
      </w:r>
      <w:r w:rsidRPr="0067642D">
        <w:rPr>
          <w:sz w:val="28"/>
          <w:szCs w:val="28"/>
        </w:rPr>
        <w:t>-</w:t>
      </w:r>
      <w:r w:rsidR="00AF6A1B">
        <w:rPr>
          <w:sz w:val="28"/>
          <w:szCs w:val="28"/>
        </w:rPr>
        <w:t xml:space="preserve">  </w:t>
      </w:r>
      <w:r w:rsidR="007C7EE7">
        <w:rPr>
          <w:b/>
          <w:sz w:val="28"/>
          <w:szCs w:val="28"/>
          <w:lang w:val="ru-RU"/>
        </w:rPr>
        <w:t>7,</w:t>
      </w:r>
      <w:r w:rsidR="006E3074">
        <w:rPr>
          <w:b/>
          <w:sz w:val="28"/>
          <w:szCs w:val="28"/>
          <w:lang w:val="ru-RU"/>
        </w:rPr>
        <w:t>5</w:t>
      </w:r>
      <w:r w:rsidRPr="0067642D">
        <w:rPr>
          <w:b/>
          <w:sz w:val="28"/>
          <w:szCs w:val="28"/>
        </w:rPr>
        <w:t xml:space="preserve">% </w:t>
      </w:r>
      <w:r w:rsidRPr="0067642D">
        <w:rPr>
          <w:sz w:val="28"/>
          <w:szCs w:val="28"/>
        </w:rPr>
        <w:t>(</w:t>
      </w:r>
      <w:r w:rsidR="006E3074">
        <w:rPr>
          <w:b/>
          <w:sz w:val="28"/>
          <w:szCs w:val="28"/>
          <w:lang w:val="ru-RU"/>
        </w:rPr>
        <w:t>5019,9</w:t>
      </w:r>
      <w:r w:rsidRPr="0067642D">
        <w:rPr>
          <w:sz w:val="28"/>
          <w:szCs w:val="28"/>
        </w:rPr>
        <w:t xml:space="preserve"> </w:t>
      </w:r>
      <w:r w:rsidRPr="0067642D">
        <w:rPr>
          <w:b/>
          <w:sz w:val="28"/>
          <w:szCs w:val="28"/>
        </w:rPr>
        <w:t>тис.грн</w:t>
      </w:r>
      <w:r w:rsidRPr="0067642D">
        <w:rPr>
          <w:sz w:val="28"/>
          <w:szCs w:val="28"/>
        </w:rPr>
        <w:t>). Приріст надходжень податку</w:t>
      </w:r>
      <w:r w:rsidR="0093396E">
        <w:rPr>
          <w:sz w:val="28"/>
          <w:szCs w:val="28"/>
        </w:rPr>
        <w:t xml:space="preserve"> на нерухоме майно</w:t>
      </w:r>
      <w:r w:rsidRPr="0067642D">
        <w:rPr>
          <w:sz w:val="28"/>
          <w:szCs w:val="28"/>
        </w:rPr>
        <w:t xml:space="preserve"> проти відповідного періоду 2022 року склав </w:t>
      </w:r>
      <w:r w:rsidR="006E3074">
        <w:rPr>
          <w:b/>
          <w:sz w:val="28"/>
          <w:szCs w:val="28"/>
          <w:lang w:val="ru-RU"/>
        </w:rPr>
        <w:t>39,6</w:t>
      </w:r>
      <w:r w:rsidRPr="0067642D">
        <w:rPr>
          <w:b/>
          <w:sz w:val="28"/>
          <w:szCs w:val="28"/>
        </w:rPr>
        <w:t>%</w:t>
      </w:r>
      <w:r w:rsidRPr="0067642D">
        <w:rPr>
          <w:sz w:val="28"/>
          <w:szCs w:val="28"/>
        </w:rPr>
        <w:t xml:space="preserve"> (+</w:t>
      </w:r>
      <w:r w:rsidR="006E3074">
        <w:rPr>
          <w:b/>
          <w:sz w:val="28"/>
          <w:szCs w:val="28"/>
          <w:lang w:val="ru-RU"/>
        </w:rPr>
        <w:t>1423,0</w:t>
      </w:r>
      <w:r w:rsidRPr="0067642D">
        <w:rPr>
          <w:b/>
          <w:sz w:val="28"/>
          <w:szCs w:val="28"/>
        </w:rPr>
        <w:t xml:space="preserve"> тис.грн</w:t>
      </w:r>
      <w:r w:rsidRPr="0067642D">
        <w:rPr>
          <w:sz w:val="28"/>
          <w:szCs w:val="28"/>
        </w:rPr>
        <w:t>)</w:t>
      </w:r>
      <w:r>
        <w:rPr>
          <w:sz w:val="28"/>
          <w:szCs w:val="28"/>
        </w:rPr>
        <w:t>.</w:t>
      </w:r>
    </w:p>
    <w:p w:rsidR="00497D4A" w:rsidRPr="004F2DB2" w:rsidRDefault="00497D4A" w:rsidP="005C328C">
      <w:pPr>
        <w:tabs>
          <w:tab w:val="left" w:pos="567"/>
          <w:tab w:val="left" w:pos="851"/>
        </w:tabs>
        <w:ind w:firstLine="851"/>
        <w:jc w:val="both"/>
        <w:rPr>
          <w:sz w:val="28"/>
          <w:szCs w:val="28"/>
        </w:rPr>
      </w:pPr>
      <w:r w:rsidRPr="004F2DB2">
        <w:rPr>
          <w:sz w:val="28"/>
          <w:szCs w:val="28"/>
        </w:rPr>
        <w:t xml:space="preserve">Надходження </w:t>
      </w:r>
      <w:r w:rsidR="00646520" w:rsidRPr="004F2DB2">
        <w:rPr>
          <w:sz w:val="28"/>
          <w:szCs w:val="28"/>
        </w:rPr>
        <w:t>внутрішніх податків на товари та послуги (</w:t>
      </w:r>
      <w:r w:rsidRPr="004F2DB2">
        <w:rPr>
          <w:sz w:val="28"/>
          <w:szCs w:val="28"/>
        </w:rPr>
        <w:t>акцизного податку</w:t>
      </w:r>
      <w:r w:rsidR="00646520" w:rsidRPr="004F2DB2">
        <w:rPr>
          <w:sz w:val="28"/>
          <w:szCs w:val="28"/>
        </w:rPr>
        <w:t>)</w:t>
      </w:r>
      <w:r w:rsidRPr="004F2DB2">
        <w:rPr>
          <w:sz w:val="28"/>
          <w:szCs w:val="28"/>
        </w:rPr>
        <w:t xml:space="preserve"> </w:t>
      </w:r>
      <w:r w:rsidR="009C214A" w:rsidRPr="004F2DB2">
        <w:rPr>
          <w:sz w:val="28"/>
          <w:szCs w:val="28"/>
        </w:rPr>
        <w:t xml:space="preserve">склали </w:t>
      </w:r>
      <w:r w:rsidR="00E26DAC">
        <w:rPr>
          <w:b/>
          <w:sz w:val="28"/>
          <w:szCs w:val="28"/>
          <w:lang w:val="ru-RU"/>
        </w:rPr>
        <w:t>18920,1</w:t>
      </w:r>
      <w:r w:rsidR="006D67B0">
        <w:rPr>
          <w:b/>
          <w:sz w:val="28"/>
          <w:szCs w:val="28"/>
          <w:lang w:val="ru-RU"/>
        </w:rPr>
        <w:t xml:space="preserve"> </w:t>
      </w:r>
      <w:r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sidR="00520A23" w:rsidRPr="004F2DB2">
        <w:rPr>
          <w:b/>
          <w:sz w:val="28"/>
          <w:szCs w:val="28"/>
        </w:rPr>
        <w:t>2,</w:t>
      </w:r>
      <w:r w:rsidR="00E26DAC">
        <w:rPr>
          <w:b/>
          <w:sz w:val="28"/>
          <w:szCs w:val="28"/>
          <w:lang w:val="ru-RU"/>
        </w:rPr>
        <w:t>8</w:t>
      </w:r>
      <w:r w:rsidR="009C214A" w:rsidRPr="004F2DB2">
        <w:rPr>
          <w:b/>
          <w:sz w:val="28"/>
          <w:szCs w:val="28"/>
        </w:rPr>
        <w:t>%</w:t>
      </w:r>
      <w:r w:rsidR="009C214A" w:rsidRPr="004F2DB2">
        <w:rPr>
          <w:sz w:val="28"/>
          <w:szCs w:val="28"/>
        </w:rPr>
        <w:t xml:space="preserve"> </w:t>
      </w:r>
      <w:r w:rsidRPr="004F2DB2">
        <w:rPr>
          <w:sz w:val="28"/>
          <w:szCs w:val="28"/>
        </w:rPr>
        <w:t xml:space="preserve">від обсягу власних доходів загального фонду бюджету. </w:t>
      </w:r>
      <w:r w:rsidR="005C328C" w:rsidRPr="004F2DB2">
        <w:rPr>
          <w:sz w:val="28"/>
          <w:szCs w:val="28"/>
        </w:rPr>
        <w:t xml:space="preserve">Проти базового періоду приріст </w:t>
      </w:r>
      <w:r w:rsidR="000623A3">
        <w:rPr>
          <w:sz w:val="28"/>
          <w:szCs w:val="28"/>
        </w:rPr>
        <w:t>акцизного податку</w:t>
      </w:r>
      <w:r w:rsidR="005C328C" w:rsidRPr="004F2DB2">
        <w:rPr>
          <w:sz w:val="28"/>
          <w:szCs w:val="28"/>
        </w:rPr>
        <w:t xml:space="preserve"> склав </w:t>
      </w:r>
      <w:r w:rsidR="00E26DAC">
        <w:rPr>
          <w:b/>
          <w:sz w:val="28"/>
          <w:szCs w:val="28"/>
          <w:lang w:val="ru-RU"/>
        </w:rPr>
        <w:t>67,2</w:t>
      </w:r>
      <w:r w:rsidR="005C328C" w:rsidRPr="004F2DB2">
        <w:rPr>
          <w:b/>
          <w:sz w:val="28"/>
          <w:szCs w:val="28"/>
        </w:rPr>
        <w:t>%</w:t>
      </w:r>
      <w:r w:rsidR="005C328C" w:rsidRPr="004F2DB2">
        <w:rPr>
          <w:sz w:val="28"/>
          <w:szCs w:val="28"/>
        </w:rPr>
        <w:t xml:space="preserve"> (+</w:t>
      </w:r>
      <w:r w:rsidR="00E26DAC">
        <w:rPr>
          <w:sz w:val="28"/>
          <w:szCs w:val="28"/>
        </w:rPr>
        <w:t xml:space="preserve"> </w:t>
      </w:r>
      <w:r w:rsidR="00E26DAC">
        <w:rPr>
          <w:b/>
          <w:sz w:val="28"/>
          <w:szCs w:val="28"/>
          <w:lang w:val="ru-RU"/>
        </w:rPr>
        <w:t>7601,5</w:t>
      </w:r>
      <w:r w:rsidR="00E85135" w:rsidRPr="004F2DB2">
        <w:rPr>
          <w:sz w:val="28"/>
          <w:szCs w:val="28"/>
        </w:rPr>
        <w:t xml:space="preserve"> </w:t>
      </w:r>
      <w:r w:rsidR="005C328C" w:rsidRPr="004F2DB2">
        <w:rPr>
          <w:sz w:val="28"/>
          <w:szCs w:val="28"/>
        </w:rPr>
        <w:t>тис.грн).</w:t>
      </w:r>
    </w:p>
    <w:p w:rsidR="00BC7F70" w:rsidRPr="005971E6" w:rsidRDefault="00BC7F70" w:rsidP="00BC7F70">
      <w:pPr>
        <w:tabs>
          <w:tab w:val="left" w:pos="567"/>
          <w:tab w:val="left" w:pos="851"/>
        </w:tabs>
        <w:ind w:firstLine="851"/>
        <w:jc w:val="both"/>
        <w:rPr>
          <w:sz w:val="28"/>
          <w:szCs w:val="28"/>
        </w:rPr>
      </w:pPr>
      <w:r w:rsidRPr="005971E6">
        <w:rPr>
          <w:sz w:val="28"/>
          <w:szCs w:val="28"/>
        </w:rPr>
        <w:t xml:space="preserve">Частка неподаткових надходжень у структурі власних доходів загального фонду бюджету складає </w:t>
      </w:r>
      <w:r w:rsidR="00B1337B">
        <w:rPr>
          <w:b/>
          <w:sz w:val="28"/>
          <w:szCs w:val="28"/>
          <w:lang w:val="ru-RU"/>
        </w:rPr>
        <w:t>1,0</w:t>
      </w:r>
      <w:r w:rsidRPr="005971E6">
        <w:rPr>
          <w:b/>
          <w:sz w:val="28"/>
          <w:szCs w:val="28"/>
        </w:rPr>
        <w:t>%</w:t>
      </w:r>
      <w:r w:rsidRPr="005971E6">
        <w:rPr>
          <w:sz w:val="28"/>
          <w:szCs w:val="28"/>
        </w:rPr>
        <w:t xml:space="preserve">. Фактичні їх надходження склали </w:t>
      </w:r>
      <w:r w:rsidR="00E070B9">
        <w:rPr>
          <w:b/>
          <w:sz w:val="28"/>
          <w:szCs w:val="28"/>
          <w:lang w:val="ru-RU"/>
        </w:rPr>
        <w:t>6629,2</w:t>
      </w:r>
      <w:r w:rsidR="00AF6A1B">
        <w:rPr>
          <w:b/>
          <w:sz w:val="28"/>
          <w:szCs w:val="28"/>
        </w:rPr>
        <w:t xml:space="preserve"> </w:t>
      </w:r>
      <w:r w:rsidRPr="00F9002D">
        <w:rPr>
          <w:b/>
          <w:sz w:val="28"/>
          <w:szCs w:val="28"/>
        </w:rPr>
        <w:t>тис.грн</w:t>
      </w:r>
      <w:r w:rsidRPr="005971E6">
        <w:rPr>
          <w:sz w:val="28"/>
          <w:szCs w:val="28"/>
        </w:rPr>
        <w:t xml:space="preserve">, що на </w:t>
      </w:r>
      <w:r w:rsidR="00E070B9">
        <w:rPr>
          <w:b/>
          <w:sz w:val="28"/>
          <w:szCs w:val="28"/>
          <w:lang w:val="ru-RU"/>
        </w:rPr>
        <w:t>816,8</w:t>
      </w:r>
      <w:r w:rsidRPr="005971E6">
        <w:rPr>
          <w:b/>
          <w:sz w:val="28"/>
          <w:szCs w:val="28"/>
        </w:rPr>
        <w:t xml:space="preserve"> тис.грн</w:t>
      </w:r>
      <w:r w:rsidR="006D3F03" w:rsidRPr="005971E6">
        <w:rPr>
          <w:sz w:val="28"/>
          <w:szCs w:val="28"/>
        </w:rPr>
        <w:t xml:space="preserve"> </w:t>
      </w:r>
      <w:r w:rsidRPr="005971E6">
        <w:rPr>
          <w:sz w:val="28"/>
          <w:szCs w:val="28"/>
        </w:rPr>
        <w:t xml:space="preserve">більше планового показника та на </w:t>
      </w:r>
      <w:r w:rsidR="00E070B9">
        <w:rPr>
          <w:b/>
          <w:sz w:val="28"/>
          <w:szCs w:val="28"/>
          <w:lang w:val="ru-RU"/>
        </w:rPr>
        <w:t>2957,3</w:t>
      </w:r>
      <w:r w:rsidRPr="005971E6">
        <w:rPr>
          <w:b/>
          <w:sz w:val="28"/>
          <w:szCs w:val="28"/>
        </w:rPr>
        <w:t> </w:t>
      </w:r>
      <w:r w:rsidRPr="004962FE">
        <w:rPr>
          <w:b/>
          <w:sz w:val="28"/>
          <w:szCs w:val="28"/>
        </w:rPr>
        <w:t>тис.грн</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за </w:t>
      </w:r>
      <w:r w:rsidR="006D3F03" w:rsidRPr="005971E6">
        <w:rPr>
          <w:sz w:val="28"/>
          <w:szCs w:val="28"/>
        </w:rPr>
        <w:t>базовий період</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5D48AE">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lastRenderedPageBreak/>
        <w:t xml:space="preserve">Офіційні трансферти до загального фонду бюджету склали  </w:t>
      </w:r>
      <w:r w:rsidR="00EB4B8C">
        <w:rPr>
          <w:b/>
          <w:sz w:val="28"/>
          <w:szCs w:val="28"/>
          <w:lang w:val="ru-RU"/>
        </w:rPr>
        <w:t>135061,8</w:t>
      </w:r>
      <w:r w:rsidRPr="00633B27">
        <w:rPr>
          <w:b/>
          <w:sz w:val="28"/>
          <w:szCs w:val="28"/>
        </w:rPr>
        <w:t> тис.грн</w:t>
      </w:r>
      <w:r w:rsidR="004223AB" w:rsidRPr="00633B27">
        <w:rPr>
          <w:b/>
          <w:sz w:val="28"/>
          <w:szCs w:val="28"/>
        </w:rPr>
        <w:t>.</w:t>
      </w:r>
    </w:p>
    <w:p w:rsidR="00497D4A" w:rsidRPr="00A50A54" w:rsidRDefault="00497D4A" w:rsidP="00EB4B8C">
      <w:pPr>
        <w:tabs>
          <w:tab w:val="left" w:pos="567"/>
          <w:tab w:val="left" w:pos="851"/>
          <w:tab w:val="left" w:pos="993"/>
        </w:tabs>
        <w:ind w:firstLine="851"/>
        <w:jc w:val="both"/>
        <w:rPr>
          <w:sz w:val="28"/>
          <w:szCs w:val="28"/>
          <w:lang w:eastAsia="ru-RU"/>
        </w:rPr>
      </w:pPr>
      <w:r w:rsidRPr="00875AC0">
        <w:rPr>
          <w:color w:val="FF0000"/>
          <w:sz w:val="28"/>
          <w:szCs w:val="28"/>
        </w:rPr>
        <w:t xml:space="preserve"> </w:t>
      </w:r>
      <w:r w:rsidRPr="002F0A3A">
        <w:rPr>
          <w:sz w:val="28"/>
          <w:szCs w:val="28"/>
        </w:rPr>
        <w:t xml:space="preserve">Доходи </w:t>
      </w:r>
      <w:r w:rsidRPr="002F0A3A">
        <w:rPr>
          <w:i/>
          <w:sz w:val="28"/>
          <w:szCs w:val="28"/>
        </w:rPr>
        <w:t xml:space="preserve">спеціального фонду </w:t>
      </w:r>
      <w:r w:rsidRPr="002F0A3A">
        <w:rPr>
          <w:sz w:val="28"/>
          <w:szCs w:val="28"/>
        </w:rPr>
        <w:t xml:space="preserve">бюджету склали </w:t>
      </w:r>
      <w:r w:rsidR="00EB4B8C">
        <w:rPr>
          <w:b/>
          <w:sz w:val="28"/>
          <w:szCs w:val="28"/>
        </w:rPr>
        <w:t>73481,4</w:t>
      </w:r>
      <w:r w:rsidRPr="002F0A3A">
        <w:rPr>
          <w:sz w:val="28"/>
          <w:szCs w:val="28"/>
        </w:rPr>
        <w:t xml:space="preserve"> </w:t>
      </w:r>
      <w:r w:rsidRPr="002F0A3A">
        <w:rPr>
          <w:b/>
          <w:sz w:val="28"/>
          <w:szCs w:val="28"/>
        </w:rPr>
        <w:t>тис.грн</w:t>
      </w:r>
      <w:r w:rsidRPr="002F0A3A">
        <w:rPr>
          <w:sz w:val="28"/>
          <w:szCs w:val="28"/>
        </w:rPr>
        <w:t xml:space="preserve">, з яких: </w:t>
      </w:r>
      <w:r w:rsidR="00EB4B8C">
        <w:rPr>
          <w:b/>
          <w:sz w:val="28"/>
          <w:szCs w:val="28"/>
        </w:rPr>
        <w:t>71816,1</w:t>
      </w:r>
      <w:r w:rsidRPr="002F0A3A">
        <w:rPr>
          <w:b/>
          <w:sz w:val="28"/>
          <w:szCs w:val="28"/>
        </w:rPr>
        <w:t> тис. грн</w:t>
      </w:r>
      <w:r w:rsidRPr="002F0A3A">
        <w:rPr>
          <w:sz w:val="28"/>
          <w:szCs w:val="28"/>
        </w:rPr>
        <w:t xml:space="preserve">, або </w:t>
      </w:r>
      <w:r w:rsidR="006F4DC9" w:rsidRPr="002F0A3A">
        <w:rPr>
          <w:b/>
          <w:sz w:val="28"/>
          <w:szCs w:val="28"/>
        </w:rPr>
        <w:t>97,</w:t>
      </w:r>
      <w:r w:rsidR="008B3846">
        <w:rPr>
          <w:b/>
          <w:sz w:val="28"/>
          <w:szCs w:val="28"/>
        </w:rPr>
        <w:t>7</w:t>
      </w:r>
      <w:r w:rsidRPr="002F0A3A">
        <w:rPr>
          <w:b/>
          <w:sz w:val="28"/>
          <w:szCs w:val="28"/>
        </w:rPr>
        <w:t>%</w:t>
      </w:r>
      <w:r w:rsidRPr="002F0A3A">
        <w:rPr>
          <w:sz w:val="28"/>
          <w:szCs w:val="28"/>
        </w:rPr>
        <w:t>, складають власні надходження бюджетних установ;</w:t>
      </w:r>
      <w:r w:rsidR="000C53C6" w:rsidRPr="002F0A3A">
        <w:rPr>
          <w:sz w:val="28"/>
          <w:szCs w:val="28"/>
        </w:rPr>
        <w:t xml:space="preserve"> </w:t>
      </w:r>
      <w:r w:rsidR="000A77E0" w:rsidRPr="00885846">
        <w:rPr>
          <w:b/>
          <w:sz w:val="28"/>
          <w:szCs w:val="28"/>
        </w:rPr>
        <w:t>857,7 тис.грн (1,</w:t>
      </w:r>
      <w:r w:rsidR="005D48AE" w:rsidRPr="005D48AE">
        <w:rPr>
          <w:b/>
          <w:sz w:val="28"/>
          <w:szCs w:val="28"/>
        </w:rPr>
        <w:t>2</w:t>
      </w:r>
      <w:r w:rsidR="000A77E0" w:rsidRPr="00885846">
        <w:rPr>
          <w:b/>
          <w:sz w:val="28"/>
          <w:szCs w:val="28"/>
        </w:rPr>
        <w:t xml:space="preserve">%) – </w:t>
      </w:r>
      <w:r w:rsidR="000A77E0" w:rsidRPr="00885846">
        <w:rPr>
          <w:sz w:val="28"/>
          <w:szCs w:val="28"/>
        </w:rPr>
        <w:t>кошти від продажу</w:t>
      </w:r>
      <w:r w:rsidR="000A77E0" w:rsidRPr="00885846">
        <w:rPr>
          <w:b/>
          <w:sz w:val="28"/>
          <w:szCs w:val="28"/>
        </w:rPr>
        <w:t xml:space="preserve"> </w:t>
      </w:r>
      <w:r w:rsidR="000A77E0" w:rsidRPr="00885846">
        <w:rPr>
          <w:sz w:val="28"/>
          <w:szCs w:val="28"/>
        </w:rPr>
        <w:t>земельних ділянок;</w:t>
      </w:r>
      <w:r w:rsidR="000A77E0">
        <w:rPr>
          <w:sz w:val="28"/>
          <w:szCs w:val="28"/>
        </w:rPr>
        <w:t xml:space="preserve"> </w:t>
      </w:r>
      <w:r w:rsidR="00EB4B8C">
        <w:rPr>
          <w:b/>
          <w:sz w:val="28"/>
          <w:szCs w:val="28"/>
        </w:rPr>
        <w:t>699,0</w:t>
      </w:r>
      <w:r w:rsidR="00EB2B53" w:rsidRPr="002F2D26">
        <w:t xml:space="preserve"> </w:t>
      </w:r>
      <w:r w:rsidR="000C53C6" w:rsidRPr="002F2D26">
        <w:rPr>
          <w:b/>
          <w:sz w:val="28"/>
          <w:szCs w:val="28"/>
        </w:rPr>
        <w:t>тис.грн (</w:t>
      </w:r>
      <w:r w:rsidR="002F0A3A" w:rsidRPr="002F2D26">
        <w:rPr>
          <w:b/>
          <w:sz w:val="28"/>
          <w:szCs w:val="28"/>
        </w:rPr>
        <w:t>0,</w:t>
      </w:r>
      <w:r w:rsidR="00AB496E" w:rsidRPr="00AB496E">
        <w:rPr>
          <w:b/>
          <w:sz w:val="28"/>
          <w:szCs w:val="28"/>
        </w:rPr>
        <w:t>9</w:t>
      </w:r>
      <w:r w:rsidR="000C53C6" w:rsidRPr="002F2D26">
        <w:rPr>
          <w:b/>
          <w:sz w:val="28"/>
          <w:szCs w:val="28"/>
        </w:rPr>
        <w:t>%</w:t>
      </w:r>
      <w:r w:rsidR="000C53C6" w:rsidRPr="002F2D26">
        <w:rPr>
          <w:sz w:val="28"/>
          <w:szCs w:val="28"/>
        </w:rPr>
        <w:t xml:space="preserve">) </w:t>
      </w:r>
      <w:r w:rsidR="00A50A54" w:rsidRPr="00885846">
        <w:rPr>
          <w:b/>
          <w:sz w:val="28"/>
          <w:szCs w:val="28"/>
        </w:rPr>
        <w:t>–</w:t>
      </w:r>
      <w:r w:rsidR="000C53C6" w:rsidRPr="002F2D26">
        <w:rPr>
          <w:sz w:val="28"/>
          <w:szCs w:val="28"/>
        </w:rPr>
        <w:t xml:space="preserve"> екологічний податок</w:t>
      </w:r>
      <w:r w:rsidR="000C53C6" w:rsidRPr="00B06433">
        <w:rPr>
          <w:sz w:val="28"/>
          <w:szCs w:val="28"/>
        </w:rPr>
        <w:t xml:space="preserve">; </w:t>
      </w:r>
      <w:r w:rsidR="00AB496E" w:rsidRPr="00AB496E">
        <w:rPr>
          <w:b/>
          <w:sz w:val="28"/>
          <w:szCs w:val="28"/>
        </w:rPr>
        <w:t>75,4</w:t>
      </w:r>
      <w:r w:rsidRPr="00B06433">
        <w:rPr>
          <w:b/>
          <w:sz w:val="28"/>
          <w:szCs w:val="28"/>
        </w:rPr>
        <w:t xml:space="preserve"> тис.грн</w:t>
      </w:r>
      <w:r w:rsidR="000C53C6" w:rsidRPr="00B06433">
        <w:rPr>
          <w:b/>
          <w:sz w:val="28"/>
          <w:szCs w:val="28"/>
        </w:rPr>
        <w:t xml:space="preserve"> </w:t>
      </w:r>
      <w:r w:rsidRPr="00B06433">
        <w:rPr>
          <w:b/>
          <w:sz w:val="28"/>
          <w:szCs w:val="28"/>
        </w:rPr>
        <w:t xml:space="preserve">- </w:t>
      </w:r>
      <w:r w:rsidRPr="00B06433">
        <w:rPr>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0C53C6" w:rsidRPr="00B06433">
        <w:rPr>
          <w:sz w:val="28"/>
          <w:szCs w:val="28"/>
        </w:rPr>
        <w:t>;</w:t>
      </w:r>
      <w:r w:rsidR="000C53C6" w:rsidRPr="00875AC0">
        <w:rPr>
          <w:color w:val="FF0000"/>
          <w:sz w:val="28"/>
          <w:szCs w:val="28"/>
        </w:rPr>
        <w:t xml:space="preserve"> </w:t>
      </w:r>
      <w:r w:rsidR="00A50A54" w:rsidRPr="00696C94">
        <w:rPr>
          <w:b/>
          <w:sz w:val="28"/>
          <w:szCs w:val="28"/>
        </w:rPr>
        <w:t>18,9 тис.грн</w:t>
      </w:r>
      <w:r w:rsidR="00A50A54">
        <w:rPr>
          <w:sz w:val="28"/>
          <w:szCs w:val="28"/>
        </w:rPr>
        <w:t xml:space="preserve"> </w:t>
      </w:r>
      <w:r w:rsidR="00A50A54" w:rsidRPr="00885846">
        <w:rPr>
          <w:b/>
          <w:sz w:val="28"/>
          <w:szCs w:val="28"/>
        </w:rPr>
        <w:t>–</w:t>
      </w:r>
      <w:r w:rsidR="00A50A54">
        <w:rPr>
          <w:sz w:val="28"/>
          <w:szCs w:val="28"/>
        </w:rPr>
        <w:t xml:space="preserve"> інші надходження до фондів охорони навколишнього природного середовища;</w:t>
      </w:r>
      <w:r w:rsidR="006436A3" w:rsidRPr="00885846">
        <w:rPr>
          <w:sz w:val="28"/>
          <w:szCs w:val="28"/>
        </w:rPr>
        <w:t xml:space="preserve"> </w:t>
      </w:r>
      <w:r w:rsidR="00705D0E">
        <w:rPr>
          <w:b/>
          <w:sz w:val="28"/>
          <w:szCs w:val="28"/>
        </w:rPr>
        <w:t>1,1</w:t>
      </w:r>
      <w:r w:rsidR="006436A3" w:rsidRPr="00A50A54">
        <w:rPr>
          <w:b/>
          <w:sz w:val="28"/>
          <w:szCs w:val="28"/>
        </w:rPr>
        <w:t xml:space="preserve"> тис.грн</w:t>
      </w:r>
      <w:r w:rsidR="006436A3" w:rsidRPr="00A50A54">
        <w:rPr>
          <w:sz w:val="28"/>
          <w:szCs w:val="28"/>
        </w:rPr>
        <w:t xml:space="preserve"> </w:t>
      </w:r>
      <w:r w:rsidR="00A50A54" w:rsidRPr="00885846">
        <w:rPr>
          <w:b/>
          <w:sz w:val="28"/>
          <w:szCs w:val="28"/>
        </w:rPr>
        <w:t>–</w:t>
      </w:r>
      <w:r w:rsidR="006436A3" w:rsidRPr="00A50A54">
        <w:rPr>
          <w:sz w:val="28"/>
          <w:szCs w:val="28"/>
        </w:rPr>
        <w:t xml:space="preserve"> </w:t>
      </w:r>
      <w:r w:rsidR="006436A3" w:rsidRPr="00A50A54">
        <w:rPr>
          <w:sz w:val="28"/>
          <w:szCs w:val="28"/>
          <w:shd w:val="clear" w:color="auto" w:fill="FFFFFF"/>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21157D" w:rsidRPr="0075111C" w:rsidRDefault="00497D4A" w:rsidP="0021157D">
      <w:pPr>
        <w:pStyle w:val="a3"/>
        <w:tabs>
          <w:tab w:val="left" w:pos="540"/>
        </w:tabs>
        <w:ind w:firstLine="851"/>
        <w:rPr>
          <w:szCs w:val="28"/>
          <w:lang w:eastAsia="ru-RU"/>
        </w:rPr>
      </w:pPr>
      <w:r w:rsidRPr="0075111C">
        <w:rPr>
          <w:szCs w:val="28"/>
        </w:rPr>
        <w:t>В цілому доходи бюджету міської територіальної громади станом на 01.</w:t>
      </w:r>
      <w:r w:rsidR="00AB496E">
        <w:rPr>
          <w:szCs w:val="28"/>
          <w:lang w:val="ru-RU"/>
        </w:rPr>
        <w:t>1</w:t>
      </w:r>
      <w:r w:rsidR="00705D0E">
        <w:rPr>
          <w:szCs w:val="28"/>
          <w:lang w:val="ru-RU"/>
        </w:rPr>
        <w:t>1</w:t>
      </w:r>
      <w:r w:rsidRPr="0075111C">
        <w:rPr>
          <w:szCs w:val="28"/>
        </w:rPr>
        <w:t>.202</w:t>
      </w:r>
      <w:r w:rsidR="00F2666B" w:rsidRPr="0075111C">
        <w:rPr>
          <w:szCs w:val="28"/>
        </w:rPr>
        <w:t>3</w:t>
      </w:r>
      <w:r w:rsidRPr="0075111C">
        <w:rPr>
          <w:szCs w:val="28"/>
          <w:lang w:val="ru-RU"/>
        </w:rPr>
        <w:t xml:space="preserve"> </w:t>
      </w:r>
      <w:r w:rsidRPr="0075111C">
        <w:rPr>
          <w:szCs w:val="28"/>
        </w:rPr>
        <w:t xml:space="preserve">склали </w:t>
      </w:r>
      <w:r w:rsidR="00705D0E">
        <w:rPr>
          <w:b/>
          <w:szCs w:val="28"/>
          <w:lang w:val="ru-RU"/>
        </w:rPr>
        <w:t>894206,5</w:t>
      </w:r>
      <w:r w:rsidRPr="0075111C">
        <w:rPr>
          <w:szCs w:val="28"/>
        </w:rPr>
        <w:t xml:space="preserve"> тис.грн, що на </w:t>
      </w:r>
      <w:r w:rsidR="00705D0E">
        <w:rPr>
          <w:b/>
          <w:szCs w:val="28"/>
          <w:lang w:val="ru-RU"/>
        </w:rPr>
        <w:t>79347,8</w:t>
      </w:r>
      <w:r w:rsidRPr="0075111C">
        <w:rPr>
          <w:szCs w:val="28"/>
        </w:rPr>
        <w:t xml:space="preserve"> </w:t>
      </w:r>
      <w:r w:rsidRPr="0075111C">
        <w:rPr>
          <w:b/>
          <w:szCs w:val="28"/>
        </w:rPr>
        <w:t>тис.грн</w:t>
      </w:r>
      <w:r w:rsidRPr="0075111C">
        <w:rPr>
          <w:szCs w:val="28"/>
        </w:rPr>
        <w:t xml:space="preserve">, або на </w:t>
      </w:r>
      <w:r w:rsidR="00705D0E">
        <w:rPr>
          <w:b/>
          <w:szCs w:val="28"/>
          <w:lang w:val="ru-RU"/>
        </w:rPr>
        <w:t>9,7</w:t>
      </w:r>
      <w:r w:rsidRPr="0075111C">
        <w:rPr>
          <w:b/>
          <w:szCs w:val="28"/>
        </w:rPr>
        <w:t>%</w:t>
      </w:r>
      <w:r w:rsidRPr="0075111C">
        <w:rPr>
          <w:szCs w:val="28"/>
        </w:rPr>
        <w:t xml:space="preserve">, </w:t>
      </w:r>
      <w:r w:rsidR="00595827" w:rsidRPr="0075111C">
        <w:rPr>
          <w:szCs w:val="28"/>
        </w:rPr>
        <w:t>біль</w:t>
      </w:r>
      <w:r w:rsidRPr="0075111C">
        <w:rPr>
          <w:szCs w:val="28"/>
        </w:rPr>
        <w:t xml:space="preserve">ше планового показника та на </w:t>
      </w:r>
      <w:r w:rsidR="00705D0E">
        <w:rPr>
          <w:b/>
          <w:szCs w:val="28"/>
          <w:lang w:val="ru-RU"/>
        </w:rPr>
        <w:t>150875,7</w:t>
      </w:r>
      <w:r w:rsidRPr="0075111C">
        <w:rPr>
          <w:b/>
          <w:szCs w:val="28"/>
          <w:lang w:val="ru-RU"/>
        </w:rPr>
        <w:t> </w:t>
      </w:r>
      <w:r w:rsidRPr="0075111C">
        <w:rPr>
          <w:szCs w:val="28"/>
        </w:rPr>
        <w:t xml:space="preserve">тис.грн, або на </w:t>
      </w:r>
      <w:r w:rsidR="00705D0E">
        <w:rPr>
          <w:b/>
          <w:szCs w:val="28"/>
          <w:lang w:val="ru-RU"/>
        </w:rPr>
        <w:t>20,3</w:t>
      </w:r>
      <w:r w:rsidRPr="0075111C">
        <w:rPr>
          <w:b/>
          <w:szCs w:val="28"/>
        </w:rPr>
        <w:t>%</w:t>
      </w:r>
      <w:r w:rsidRPr="0075111C">
        <w:rPr>
          <w:szCs w:val="28"/>
        </w:rPr>
        <w:t xml:space="preserve">, </w:t>
      </w:r>
      <w:r w:rsidR="00991A31" w:rsidRPr="0075111C">
        <w:rPr>
          <w:szCs w:val="28"/>
        </w:rPr>
        <w:t>біль</w:t>
      </w:r>
      <w:r w:rsidRPr="0075111C">
        <w:rPr>
          <w:szCs w:val="28"/>
        </w:rPr>
        <w:t>ше аналогічного показника за відповідний період минулого року.</w:t>
      </w:r>
      <w:r w:rsidRPr="0075111C">
        <w:rPr>
          <w:szCs w:val="28"/>
          <w:lang w:eastAsia="ru-RU"/>
        </w:rPr>
        <w:t xml:space="preserve"> </w:t>
      </w:r>
    </w:p>
    <w:p w:rsidR="0021157D" w:rsidRPr="00D74FA8" w:rsidRDefault="0021157D" w:rsidP="0021157D">
      <w:pPr>
        <w:pStyle w:val="a3"/>
        <w:tabs>
          <w:tab w:val="left" w:pos="540"/>
        </w:tabs>
        <w:ind w:firstLine="851"/>
        <w:rPr>
          <w:color w:val="000000" w:themeColor="text1"/>
          <w:sz w:val="8"/>
          <w:szCs w:val="8"/>
        </w:rPr>
      </w:pPr>
      <w:r w:rsidRPr="00D74FA8">
        <w:rPr>
          <w:color w:val="000000" w:themeColor="text1"/>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361A31" w:rsidRDefault="002807A6" w:rsidP="002807A6">
      <w:pPr>
        <w:pStyle w:val="a3"/>
        <w:tabs>
          <w:tab w:val="left" w:pos="540"/>
        </w:tabs>
        <w:ind w:firstLine="851"/>
        <w:rPr>
          <w:color w:val="000000" w:themeColor="text1"/>
          <w:szCs w:val="28"/>
        </w:rPr>
      </w:pPr>
      <w:r w:rsidRPr="00361A31">
        <w:rPr>
          <w:color w:val="000000" w:themeColor="text1"/>
          <w:szCs w:val="28"/>
        </w:rPr>
        <w:t>Так, станом на 01.</w:t>
      </w:r>
      <w:r w:rsidR="00D74FA8" w:rsidRPr="00361A31">
        <w:rPr>
          <w:color w:val="000000" w:themeColor="text1"/>
          <w:szCs w:val="28"/>
        </w:rPr>
        <w:t>11</w:t>
      </w:r>
      <w:r w:rsidRPr="00361A31">
        <w:rPr>
          <w:color w:val="000000" w:themeColor="text1"/>
          <w:szCs w:val="28"/>
        </w:rPr>
        <w:t>.202</w:t>
      </w:r>
      <w:r w:rsidR="001E54C2" w:rsidRPr="00361A31">
        <w:rPr>
          <w:color w:val="000000" w:themeColor="text1"/>
          <w:szCs w:val="28"/>
        </w:rPr>
        <w:t>3</w:t>
      </w:r>
      <w:r w:rsidRPr="00361A31">
        <w:rPr>
          <w:color w:val="000000" w:themeColor="text1"/>
          <w:szCs w:val="28"/>
        </w:rPr>
        <w:t xml:space="preserve"> року виконання бюджету Вараської міської територіальної громади </w:t>
      </w:r>
      <w:r w:rsidRPr="00361A31">
        <w:rPr>
          <w:b/>
          <w:color w:val="000000" w:themeColor="text1"/>
          <w:szCs w:val="28"/>
          <w:u w:val="single"/>
        </w:rPr>
        <w:t>по видатках та кредитуванню</w:t>
      </w:r>
      <w:r w:rsidRPr="00361A31">
        <w:rPr>
          <w:color w:val="000000" w:themeColor="text1"/>
          <w:szCs w:val="28"/>
        </w:rPr>
        <w:t xml:space="preserve"> становить </w:t>
      </w:r>
      <w:r w:rsidR="00361A31" w:rsidRPr="00361A31">
        <w:rPr>
          <w:b/>
          <w:color w:val="000000" w:themeColor="text1"/>
          <w:szCs w:val="28"/>
          <w:lang w:val="ru-RU"/>
        </w:rPr>
        <w:t>88,1</w:t>
      </w:r>
      <w:r w:rsidRPr="00361A31">
        <w:rPr>
          <w:color w:val="000000" w:themeColor="text1"/>
          <w:szCs w:val="28"/>
        </w:rPr>
        <w:t xml:space="preserve">% до уточненого плану, у тому числі: по </w:t>
      </w:r>
      <w:r w:rsidRPr="00361A31">
        <w:rPr>
          <w:b/>
          <w:i/>
          <w:color w:val="000000" w:themeColor="text1"/>
          <w:szCs w:val="28"/>
        </w:rPr>
        <w:t>загальному фонду</w:t>
      </w:r>
      <w:r w:rsidRPr="00361A31">
        <w:rPr>
          <w:color w:val="000000" w:themeColor="text1"/>
          <w:szCs w:val="28"/>
        </w:rPr>
        <w:t xml:space="preserve"> – </w:t>
      </w:r>
      <w:r w:rsidR="00D74FA8" w:rsidRPr="00361A31">
        <w:rPr>
          <w:b/>
          <w:color w:val="000000" w:themeColor="text1"/>
          <w:szCs w:val="28"/>
          <w:lang w:val="ru-RU"/>
        </w:rPr>
        <w:t>91,8</w:t>
      </w:r>
      <w:r w:rsidRPr="00361A31">
        <w:rPr>
          <w:color w:val="000000" w:themeColor="text1"/>
          <w:szCs w:val="28"/>
        </w:rPr>
        <w:t xml:space="preserve">%, по </w:t>
      </w:r>
      <w:r w:rsidRPr="00361A31">
        <w:rPr>
          <w:b/>
          <w:i/>
          <w:color w:val="000000" w:themeColor="text1"/>
          <w:szCs w:val="28"/>
        </w:rPr>
        <w:t>спеціальному фонду</w:t>
      </w:r>
      <w:r w:rsidRPr="00361A31">
        <w:rPr>
          <w:b/>
          <w:color w:val="000000" w:themeColor="text1"/>
          <w:szCs w:val="28"/>
        </w:rPr>
        <w:t xml:space="preserve"> </w:t>
      </w:r>
      <w:r w:rsidRPr="00361A31">
        <w:rPr>
          <w:color w:val="000000" w:themeColor="text1"/>
          <w:szCs w:val="28"/>
        </w:rPr>
        <w:t xml:space="preserve">– </w:t>
      </w:r>
      <w:r w:rsidR="00D74FA8" w:rsidRPr="00361A31">
        <w:rPr>
          <w:b/>
          <w:color w:val="000000" w:themeColor="text1"/>
          <w:szCs w:val="28"/>
        </w:rPr>
        <w:t>71,5</w:t>
      </w:r>
      <w:r w:rsidRPr="00361A31">
        <w:rPr>
          <w:color w:val="000000" w:themeColor="text1"/>
          <w:szCs w:val="28"/>
        </w:rPr>
        <w:t>%.  Тобто</w:t>
      </w:r>
      <w:r w:rsidR="00D3704D" w:rsidRPr="00361A31">
        <w:rPr>
          <w:color w:val="000000" w:themeColor="text1"/>
          <w:szCs w:val="28"/>
        </w:rPr>
        <w:t xml:space="preserve">, при уточненому плані на </w:t>
      </w:r>
      <w:r w:rsidR="005C618C" w:rsidRPr="00361A31">
        <w:rPr>
          <w:color w:val="000000" w:themeColor="text1"/>
          <w:szCs w:val="28"/>
        </w:rPr>
        <w:t>січень-</w:t>
      </w:r>
      <w:r w:rsidR="00D74FA8" w:rsidRPr="00361A31">
        <w:rPr>
          <w:color w:val="000000" w:themeColor="text1"/>
          <w:szCs w:val="28"/>
        </w:rPr>
        <w:t>жовтень</w:t>
      </w:r>
      <w:r w:rsidRPr="00361A31">
        <w:rPr>
          <w:color w:val="000000" w:themeColor="text1"/>
          <w:szCs w:val="28"/>
        </w:rPr>
        <w:t xml:space="preserve"> 20</w:t>
      </w:r>
      <w:r w:rsidR="00B77EC5" w:rsidRPr="00361A31">
        <w:rPr>
          <w:color w:val="000000" w:themeColor="text1"/>
          <w:szCs w:val="28"/>
        </w:rPr>
        <w:t>23</w:t>
      </w:r>
      <w:r w:rsidRPr="00361A31">
        <w:rPr>
          <w:color w:val="000000" w:themeColor="text1"/>
          <w:szCs w:val="28"/>
        </w:rPr>
        <w:t xml:space="preserve"> року в сумі </w:t>
      </w:r>
      <w:r w:rsidR="00D74FA8" w:rsidRPr="00361A31">
        <w:rPr>
          <w:b/>
          <w:color w:val="000000" w:themeColor="text1"/>
          <w:szCs w:val="28"/>
        </w:rPr>
        <w:t>1 026 772,2</w:t>
      </w:r>
      <w:r w:rsidRPr="00361A31">
        <w:rPr>
          <w:b/>
          <w:color w:val="000000" w:themeColor="text1"/>
          <w:szCs w:val="28"/>
        </w:rPr>
        <w:t> </w:t>
      </w:r>
      <w:r w:rsidRPr="00361A31">
        <w:rPr>
          <w:color w:val="000000" w:themeColor="text1"/>
          <w:szCs w:val="28"/>
        </w:rPr>
        <w:t xml:space="preserve">тис.грн, на утримання бюджетних установ та виконання програмних завдань використано </w:t>
      </w:r>
      <w:r w:rsidR="00D74FA8" w:rsidRPr="00361A31">
        <w:rPr>
          <w:b/>
          <w:color w:val="000000" w:themeColor="text1"/>
          <w:szCs w:val="28"/>
        </w:rPr>
        <w:t>904 720,4</w:t>
      </w:r>
      <w:r w:rsidRPr="00361A31">
        <w:rPr>
          <w:color w:val="000000" w:themeColor="text1"/>
          <w:szCs w:val="28"/>
        </w:rPr>
        <w:t xml:space="preserve"> тис.грн, у тому числі по вид</w:t>
      </w:r>
      <w:r w:rsidR="00613316" w:rsidRPr="00361A31">
        <w:rPr>
          <w:color w:val="000000" w:themeColor="text1"/>
          <w:szCs w:val="28"/>
        </w:rPr>
        <w:t xml:space="preserve">атках </w:t>
      </w:r>
      <w:r w:rsidR="00D74FA8" w:rsidRPr="00361A31">
        <w:rPr>
          <w:b/>
          <w:color w:val="000000" w:themeColor="text1"/>
          <w:szCs w:val="28"/>
        </w:rPr>
        <w:t>904 797,2</w:t>
      </w:r>
      <w:r w:rsidR="00DF2C7A" w:rsidRPr="00361A31">
        <w:rPr>
          <w:b/>
          <w:color w:val="000000" w:themeColor="text1"/>
          <w:szCs w:val="28"/>
        </w:rPr>
        <w:t xml:space="preserve"> </w:t>
      </w:r>
      <w:r w:rsidR="00D019E6" w:rsidRPr="00361A31">
        <w:rPr>
          <w:b/>
          <w:color w:val="000000" w:themeColor="text1"/>
          <w:szCs w:val="28"/>
        </w:rPr>
        <w:t xml:space="preserve"> </w:t>
      </w:r>
      <w:r w:rsidRPr="00361A31">
        <w:rPr>
          <w:color w:val="000000" w:themeColor="text1"/>
          <w:szCs w:val="28"/>
        </w:rPr>
        <w:t>тис.грн, по кредитуванню повернуто ”-”</w:t>
      </w:r>
      <w:r w:rsidRPr="00361A31">
        <w:rPr>
          <w:color w:val="000000" w:themeColor="text1"/>
          <w:szCs w:val="28"/>
          <w:lang w:val="ru-RU"/>
        </w:rPr>
        <w:t xml:space="preserve"> </w:t>
      </w:r>
      <w:r w:rsidR="00D74FA8" w:rsidRPr="00361A31">
        <w:rPr>
          <w:b/>
          <w:color w:val="000000" w:themeColor="text1"/>
          <w:szCs w:val="28"/>
          <w:lang w:val="ru-RU"/>
        </w:rPr>
        <w:t>76,8</w:t>
      </w:r>
      <w:r w:rsidRPr="00361A31">
        <w:rPr>
          <w:b/>
          <w:color w:val="000000" w:themeColor="text1"/>
          <w:szCs w:val="28"/>
        </w:rPr>
        <w:t> </w:t>
      </w:r>
      <w:r w:rsidRPr="00361A31">
        <w:rPr>
          <w:color w:val="000000" w:themeColor="text1"/>
          <w:szCs w:val="28"/>
        </w:rPr>
        <w:t xml:space="preserve">тис.грн. </w:t>
      </w:r>
    </w:p>
    <w:p w:rsidR="002807A6" w:rsidRPr="00E413E6" w:rsidRDefault="002807A6" w:rsidP="002807A6">
      <w:pPr>
        <w:pStyle w:val="a3"/>
        <w:tabs>
          <w:tab w:val="left" w:pos="540"/>
        </w:tabs>
        <w:ind w:firstLine="851"/>
        <w:rPr>
          <w:color w:val="FF0000"/>
          <w:sz w:val="16"/>
          <w:szCs w:val="16"/>
        </w:rPr>
      </w:pPr>
    </w:p>
    <w:p w:rsidR="002807A6" w:rsidRPr="00DC1435" w:rsidRDefault="002807A6" w:rsidP="002807A6">
      <w:pPr>
        <w:pStyle w:val="a3"/>
        <w:tabs>
          <w:tab w:val="left" w:pos="540"/>
        </w:tabs>
        <w:ind w:firstLine="851"/>
        <w:rPr>
          <w:color w:val="000000" w:themeColor="text1"/>
          <w:szCs w:val="28"/>
        </w:rPr>
      </w:pPr>
      <w:r w:rsidRPr="00DC1435">
        <w:rPr>
          <w:color w:val="000000" w:themeColor="text1"/>
          <w:szCs w:val="28"/>
        </w:rPr>
        <w:t xml:space="preserve">По </w:t>
      </w:r>
      <w:r w:rsidRPr="00DC1435">
        <w:rPr>
          <w:b/>
          <w:i/>
          <w:color w:val="000000" w:themeColor="text1"/>
          <w:szCs w:val="28"/>
        </w:rPr>
        <w:t>загальному</w:t>
      </w:r>
      <w:r w:rsidRPr="00DC1435">
        <w:rPr>
          <w:color w:val="000000" w:themeColor="text1"/>
          <w:szCs w:val="28"/>
        </w:rPr>
        <w:t xml:space="preserve"> фонду, при уточненому плані на звітний період                    </w:t>
      </w:r>
      <w:r w:rsidR="00361A31" w:rsidRPr="00DC1435">
        <w:rPr>
          <w:b/>
          <w:color w:val="000000" w:themeColor="text1"/>
          <w:szCs w:val="28"/>
        </w:rPr>
        <w:t>839 630,6</w:t>
      </w:r>
      <w:r w:rsidRPr="00DC1435">
        <w:rPr>
          <w:color w:val="000000" w:themeColor="text1"/>
          <w:szCs w:val="28"/>
        </w:rPr>
        <w:t xml:space="preserve"> тис.грн, використано </w:t>
      </w:r>
      <w:r w:rsidR="00DC1435" w:rsidRPr="00DC1435">
        <w:rPr>
          <w:b/>
          <w:color w:val="000000" w:themeColor="text1"/>
          <w:szCs w:val="28"/>
        </w:rPr>
        <w:t>770 993,7</w:t>
      </w:r>
      <w:r w:rsidRPr="00DC1435">
        <w:rPr>
          <w:b/>
          <w:color w:val="000000" w:themeColor="text1"/>
          <w:szCs w:val="28"/>
        </w:rPr>
        <w:t xml:space="preserve"> </w:t>
      </w:r>
      <w:r w:rsidRPr="00DC1435">
        <w:rPr>
          <w:color w:val="000000" w:themeColor="text1"/>
          <w:szCs w:val="28"/>
        </w:rPr>
        <w:t>тис.грн.</w:t>
      </w:r>
    </w:p>
    <w:p w:rsidR="002807A6" w:rsidRPr="00E413E6" w:rsidRDefault="002807A6" w:rsidP="002807A6">
      <w:pPr>
        <w:pStyle w:val="a3"/>
        <w:tabs>
          <w:tab w:val="left" w:pos="540"/>
        </w:tabs>
        <w:ind w:firstLine="851"/>
        <w:rPr>
          <w:color w:val="FF0000"/>
          <w:sz w:val="16"/>
          <w:szCs w:val="16"/>
        </w:rPr>
      </w:pPr>
    </w:p>
    <w:p w:rsidR="002807A6" w:rsidRPr="000E795A" w:rsidRDefault="002807A6" w:rsidP="002807A6">
      <w:pPr>
        <w:pStyle w:val="a3"/>
        <w:tabs>
          <w:tab w:val="left" w:pos="540"/>
        </w:tabs>
        <w:ind w:firstLine="851"/>
        <w:rPr>
          <w:color w:val="000000" w:themeColor="text1"/>
          <w:szCs w:val="28"/>
        </w:rPr>
      </w:pPr>
      <w:r w:rsidRPr="000E795A">
        <w:rPr>
          <w:color w:val="000000" w:themeColor="text1"/>
          <w:szCs w:val="28"/>
        </w:rPr>
        <w:t xml:space="preserve">По </w:t>
      </w:r>
      <w:r w:rsidRPr="000E795A">
        <w:rPr>
          <w:b/>
          <w:i/>
          <w:color w:val="000000" w:themeColor="text1"/>
          <w:szCs w:val="28"/>
        </w:rPr>
        <w:t>спеціальному</w:t>
      </w:r>
      <w:r w:rsidRPr="000E795A">
        <w:rPr>
          <w:color w:val="000000" w:themeColor="text1"/>
          <w:szCs w:val="28"/>
        </w:rPr>
        <w:t xml:space="preserve"> фонду, при уточненому плані в сумі </w:t>
      </w:r>
      <w:r w:rsidR="000E795A" w:rsidRPr="000E795A">
        <w:rPr>
          <w:b/>
          <w:color w:val="000000" w:themeColor="text1"/>
          <w:szCs w:val="28"/>
        </w:rPr>
        <w:t>187 141,6</w:t>
      </w:r>
      <w:r w:rsidRPr="000E795A">
        <w:rPr>
          <w:b/>
          <w:color w:val="000000" w:themeColor="text1"/>
          <w:szCs w:val="28"/>
        </w:rPr>
        <w:t xml:space="preserve"> </w:t>
      </w:r>
      <w:r w:rsidRPr="000E795A">
        <w:rPr>
          <w:color w:val="000000" w:themeColor="text1"/>
          <w:szCs w:val="28"/>
        </w:rPr>
        <w:t xml:space="preserve">тис.грн, використано </w:t>
      </w:r>
      <w:r w:rsidR="000E795A" w:rsidRPr="000E795A">
        <w:rPr>
          <w:b/>
          <w:color w:val="000000" w:themeColor="text1"/>
          <w:szCs w:val="28"/>
        </w:rPr>
        <w:t>133 726,7</w:t>
      </w:r>
      <w:r w:rsidRPr="000E795A">
        <w:rPr>
          <w:color w:val="000000" w:themeColor="text1"/>
          <w:szCs w:val="28"/>
        </w:rPr>
        <w:t xml:space="preserve"> тис.грн, у тому числі по видатках – </w:t>
      </w:r>
      <w:r w:rsidR="000E795A" w:rsidRPr="000E795A">
        <w:rPr>
          <w:b/>
          <w:color w:val="000000" w:themeColor="text1"/>
          <w:szCs w:val="28"/>
        </w:rPr>
        <w:t>133 803,5</w:t>
      </w:r>
      <w:r w:rsidRPr="000E795A">
        <w:rPr>
          <w:color w:val="000000" w:themeColor="text1"/>
          <w:szCs w:val="28"/>
        </w:rPr>
        <w:t xml:space="preserve"> тис.грн; по кредитуванню  повернуто  ”-” </w:t>
      </w:r>
      <w:r w:rsidR="000E795A" w:rsidRPr="000E795A">
        <w:rPr>
          <w:b/>
          <w:color w:val="000000" w:themeColor="text1"/>
          <w:szCs w:val="28"/>
        </w:rPr>
        <w:t>76,8</w:t>
      </w:r>
      <w:r w:rsidRPr="000E795A">
        <w:rPr>
          <w:color w:val="000000" w:themeColor="text1"/>
          <w:szCs w:val="28"/>
        </w:rPr>
        <w:t xml:space="preserve"> тис.грн. </w:t>
      </w:r>
    </w:p>
    <w:p w:rsidR="002807A6" w:rsidRPr="005A3FEE" w:rsidRDefault="002807A6" w:rsidP="002807A6">
      <w:pPr>
        <w:pStyle w:val="a3"/>
        <w:tabs>
          <w:tab w:val="left" w:pos="540"/>
        </w:tabs>
        <w:rPr>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5A3FEE" w:rsidRDefault="002807A6" w:rsidP="002807A6">
      <w:pPr>
        <w:pStyle w:val="a3"/>
        <w:tabs>
          <w:tab w:val="left" w:pos="540"/>
        </w:tabs>
        <w:ind w:firstLine="851"/>
        <w:rPr>
          <w:szCs w:val="28"/>
        </w:rPr>
      </w:pPr>
      <w:r w:rsidRPr="005A3FEE">
        <w:rPr>
          <w:szCs w:val="28"/>
        </w:rPr>
        <w:t xml:space="preserve">            </w:t>
      </w:r>
    </w:p>
    <w:p w:rsidR="002807A6" w:rsidRPr="005A3FEE" w:rsidRDefault="002807A6" w:rsidP="002807A6">
      <w:pPr>
        <w:pStyle w:val="a3"/>
        <w:tabs>
          <w:tab w:val="left" w:pos="567"/>
        </w:tabs>
        <w:rPr>
          <w:sz w:val="20"/>
        </w:rPr>
      </w:pPr>
      <w:r w:rsidRPr="005A3FEE">
        <w:rPr>
          <w:sz w:val="20"/>
        </w:rPr>
        <w:t xml:space="preserve">           </w:t>
      </w:r>
    </w:p>
    <w:p w:rsidR="00AF6A1B" w:rsidRPr="005A3FEE" w:rsidRDefault="00F13F64" w:rsidP="002807A6">
      <w:pPr>
        <w:pStyle w:val="a3"/>
        <w:tabs>
          <w:tab w:val="left" w:pos="567"/>
        </w:tabs>
        <w:rPr>
          <w:sz w:val="20"/>
        </w:rPr>
      </w:pPr>
      <w:r w:rsidRPr="005A3FEE">
        <w:rPr>
          <w:sz w:val="20"/>
        </w:rPr>
        <w:t>Олена Хандучка</w:t>
      </w:r>
      <w:r w:rsidR="002807A6" w:rsidRPr="005A3FEE">
        <w:rPr>
          <w:sz w:val="20"/>
        </w:rPr>
        <w:t xml:space="preserve"> 2-43-83</w:t>
      </w:r>
    </w:p>
    <w:p w:rsidR="00497D4A" w:rsidRPr="002A2652" w:rsidRDefault="002807A6" w:rsidP="002A2652">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bookmarkStart w:id="0" w:name="_GoBack"/>
      <w:bookmarkEnd w:id="0"/>
    </w:p>
    <w:sectPr w:rsidR="00497D4A" w:rsidRPr="002A2652"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E0365"/>
    <w:rsid w:val="000E127D"/>
    <w:rsid w:val="000E47E1"/>
    <w:rsid w:val="000E5BBD"/>
    <w:rsid w:val="000E795A"/>
    <w:rsid w:val="000F28CE"/>
    <w:rsid w:val="000F2F8B"/>
    <w:rsid w:val="001023E2"/>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471A"/>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52"/>
    <w:rsid w:val="002A26B9"/>
    <w:rsid w:val="002B002B"/>
    <w:rsid w:val="002B0482"/>
    <w:rsid w:val="002B1208"/>
    <w:rsid w:val="002B384D"/>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1A31"/>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0DA0"/>
    <w:rsid w:val="003D10B8"/>
    <w:rsid w:val="003D18FC"/>
    <w:rsid w:val="003D334D"/>
    <w:rsid w:val="003D35F8"/>
    <w:rsid w:val="003D5A64"/>
    <w:rsid w:val="003E149D"/>
    <w:rsid w:val="003E4A73"/>
    <w:rsid w:val="003E68D0"/>
    <w:rsid w:val="003F1AC3"/>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73517"/>
    <w:rsid w:val="004769B0"/>
    <w:rsid w:val="004769BD"/>
    <w:rsid w:val="00477062"/>
    <w:rsid w:val="004806C2"/>
    <w:rsid w:val="0048075B"/>
    <w:rsid w:val="0048234C"/>
    <w:rsid w:val="00485E0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0A23"/>
    <w:rsid w:val="00524426"/>
    <w:rsid w:val="00525470"/>
    <w:rsid w:val="005266C6"/>
    <w:rsid w:val="00526A01"/>
    <w:rsid w:val="00527DBC"/>
    <w:rsid w:val="00530CC6"/>
    <w:rsid w:val="00532D4A"/>
    <w:rsid w:val="00536BF8"/>
    <w:rsid w:val="005401F6"/>
    <w:rsid w:val="00540262"/>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A48"/>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3074"/>
    <w:rsid w:val="006E6114"/>
    <w:rsid w:val="006E7BB4"/>
    <w:rsid w:val="006F0A4C"/>
    <w:rsid w:val="006F0EFB"/>
    <w:rsid w:val="006F2B4A"/>
    <w:rsid w:val="006F4DC9"/>
    <w:rsid w:val="00700BAA"/>
    <w:rsid w:val="00700C97"/>
    <w:rsid w:val="00702AD7"/>
    <w:rsid w:val="00705D0E"/>
    <w:rsid w:val="00706F2C"/>
    <w:rsid w:val="00710F9A"/>
    <w:rsid w:val="00711087"/>
    <w:rsid w:val="007111E2"/>
    <w:rsid w:val="00712383"/>
    <w:rsid w:val="00712A99"/>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83897"/>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F77"/>
    <w:rsid w:val="007E04F6"/>
    <w:rsid w:val="007E2326"/>
    <w:rsid w:val="007E4F24"/>
    <w:rsid w:val="007E782B"/>
    <w:rsid w:val="007F0932"/>
    <w:rsid w:val="007F7061"/>
    <w:rsid w:val="008042C8"/>
    <w:rsid w:val="0081126D"/>
    <w:rsid w:val="008161F3"/>
    <w:rsid w:val="00820CC4"/>
    <w:rsid w:val="0082595C"/>
    <w:rsid w:val="00825FA7"/>
    <w:rsid w:val="00832412"/>
    <w:rsid w:val="00844D34"/>
    <w:rsid w:val="00851168"/>
    <w:rsid w:val="008575D7"/>
    <w:rsid w:val="008615B8"/>
    <w:rsid w:val="00861777"/>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66F4"/>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1A31"/>
    <w:rsid w:val="0099527B"/>
    <w:rsid w:val="0099730F"/>
    <w:rsid w:val="009A0A6A"/>
    <w:rsid w:val="009A2B81"/>
    <w:rsid w:val="009A4A9C"/>
    <w:rsid w:val="009A6A06"/>
    <w:rsid w:val="009B2600"/>
    <w:rsid w:val="009B399F"/>
    <w:rsid w:val="009B3D50"/>
    <w:rsid w:val="009C0023"/>
    <w:rsid w:val="009C214A"/>
    <w:rsid w:val="009C2582"/>
    <w:rsid w:val="009C5BFF"/>
    <w:rsid w:val="009C7A2E"/>
    <w:rsid w:val="009D6195"/>
    <w:rsid w:val="009E0CFE"/>
    <w:rsid w:val="009E7766"/>
    <w:rsid w:val="009F4633"/>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1337B"/>
    <w:rsid w:val="00B2026A"/>
    <w:rsid w:val="00B224C3"/>
    <w:rsid w:val="00B2359A"/>
    <w:rsid w:val="00B2375D"/>
    <w:rsid w:val="00B2530C"/>
    <w:rsid w:val="00B27762"/>
    <w:rsid w:val="00B306F7"/>
    <w:rsid w:val="00B31D0C"/>
    <w:rsid w:val="00B333AF"/>
    <w:rsid w:val="00B37C0A"/>
    <w:rsid w:val="00B42A77"/>
    <w:rsid w:val="00B50A80"/>
    <w:rsid w:val="00B50CA4"/>
    <w:rsid w:val="00B5416B"/>
    <w:rsid w:val="00B552A3"/>
    <w:rsid w:val="00B568AD"/>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4FA8"/>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435"/>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0B9"/>
    <w:rsid w:val="00E077DC"/>
    <w:rsid w:val="00E1080F"/>
    <w:rsid w:val="00E20B4C"/>
    <w:rsid w:val="00E20C2F"/>
    <w:rsid w:val="00E22A0F"/>
    <w:rsid w:val="00E265F2"/>
    <w:rsid w:val="00E26B40"/>
    <w:rsid w:val="00E26DAC"/>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A30"/>
    <w:rsid w:val="00EA4C62"/>
    <w:rsid w:val="00EA7429"/>
    <w:rsid w:val="00EB2B53"/>
    <w:rsid w:val="00EB39C7"/>
    <w:rsid w:val="00EB4B8C"/>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4C85"/>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8DC"/>
    <w:rsid w:val="00F73B5E"/>
    <w:rsid w:val="00F763C0"/>
    <w:rsid w:val="00F76E93"/>
    <w:rsid w:val="00F77D90"/>
    <w:rsid w:val="00F84EFE"/>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9B92E"/>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2</Pages>
  <Words>668</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197</cp:revision>
  <cp:lastPrinted>2023-11-15T09:28:00Z</cp:lastPrinted>
  <dcterms:created xsi:type="dcterms:W3CDTF">2022-10-05T05:21:00Z</dcterms:created>
  <dcterms:modified xsi:type="dcterms:W3CDTF">2023-11-16T10:34:00Z</dcterms:modified>
</cp:coreProperties>
</file>