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F00EC8" w:rsidRPr="00BD6E05">
        <w:rPr>
          <w:b/>
          <w:sz w:val="32"/>
          <w:szCs w:val="32"/>
        </w:rPr>
        <w:t>202</w:t>
      </w:r>
      <w:r w:rsidR="00B77EC5">
        <w:rPr>
          <w:b/>
          <w:sz w:val="32"/>
          <w:szCs w:val="32"/>
        </w:rPr>
        <w:t>3</w:t>
      </w:r>
      <w:r w:rsidR="00F00EC8" w:rsidRPr="00BD6E05">
        <w:rPr>
          <w:b/>
          <w:sz w:val="32"/>
          <w:szCs w:val="32"/>
        </w:rPr>
        <w:t xml:space="preserve"> р</w:t>
      </w:r>
      <w:r w:rsidR="00CF7306">
        <w:rPr>
          <w:b/>
          <w:sz w:val="32"/>
          <w:szCs w:val="32"/>
        </w:rPr>
        <w:t>ік</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За даними звіту управління Державної казначейської служби України у м.Вараші про виконання місцевих бюджетів за січень</w:t>
      </w:r>
      <w:r w:rsidR="002D7879" w:rsidRPr="00B947BE">
        <w:rPr>
          <w:sz w:val="28"/>
          <w:szCs w:val="28"/>
        </w:rPr>
        <w:t>-</w:t>
      </w:r>
      <w:r w:rsidR="001D70D4">
        <w:rPr>
          <w:sz w:val="28"/>
          <w:szCs w:val="28"/>
        </w:rPr>
        <w:t>груд</w:t>
      </w:r>
      <w:r w:rsidR="00D71029">
        <w:rPr>
          <w:sz w:val="28"/>
          <w:szCs w:val="28"/>
        </w:rPr>
        <w:t>е</w:t>
      </w:r>
      <w:r w:rsidR="003D10B8" w:rsidRPr="00B947BE">
        <w:rPr>
          <w:sz w:val="28"/>
          <w:szCs w:val="28"/>
        </w:rPr>
        <w:t>нь</w:t>
      </w:r>
      <w:r w:rsidRPr="00B947BE">
        <w:rPr>
          <w:sz w:val="28"/>
          <w:szCs w:val="28"/>
        </w:rPr>
        <w:t xml:space="preserve"> 202</w:t>
      </w:r>
      <w:r w:rsidR="006D3252" w:rsidRPr="00B947BE">
        <w:rPr>
          <w:sz w:val="28"/>
          <w:szCs w:val="28"/>
        </w:rPr>
        <w:t>3</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1D70D4">
        <w:rPr>
          <w:b/>
          <w:sz w:val="28"/>
          <w:szCs w:val="28"/>
        </w:rPr>
        <w:t>960705,9</w:t>
      </w:r>
      <w:r w:rsidR="006D3252" w:rsidRPr="00B947BE">
        <w:rPr>
          <w:b/>
          <w:sz w:val="28"/>
          <w:szCs w:val="28"/>
        </w:rPr>
        <w:t xml:space="preserve"> </w:t>
      </w:r>
      <w:r w:rsidRPr="00B947BE">
        <w:rPr>
          <w:b/>
          <w:sz w:val="28"/>
          <w:szCs w:val="28"/>
        </w:rPr>
        <w:t>тис.грн</w:t>
      </w:r>
      <w:r w:rsidR="001B53FB" w:rsidRPr="00B947BE">
        <w:rPr>
          <w:b/>
          <w:sz w:val="28"/>
          <w:szCs w:val="28"/>
        </w:rPr>
        <w:t>.</w:t>
      </w:r>
    </w:p>
    <w:p w:rsidR="00497D4A" w:rsidRPr="00B947BE" w:rsidRDefault="00497D4A" w:rsidP="0021157D">
      <w:pPr>
        <w:tabs>
          <w:tab w:val="left" w:pos="567"/>
          <w:tab w:val="left" w:pos="851"/>
        </w:tabs>
        <w:ind w:firstLine="851"/>
        <w:jc w:val="both"/>
        <w:rPr>
          <w:sz w:val="28"/>
          <w:szCs w:val="28"/>
        </w:rPr>
      </w:pPr>
      <w:r w:rsidRPr="009960E5">
        <w:rPr>
          <w:i/>
          <w:sz w:val="28"/>
          <w:szCs w:val="28"/>
        </w:rPr>
        <w:t>Доходи загального фонду</w:t>
      </w:r>
      <w:r w:rsidRPr="00B947BE">
        <w:rPr>
          <w:i/>
          <w:sz w:val="28"/>
          <w:szCs w:val="28"/>
        </w:rPr>
        <w:t xml:space="preserve"> </w:t>
      </w:r>
      <w:r w:rsidRPr="00B947BE">
        <w:rPr>
          <w:sz w:val="28"/>
          <w:szCs w:val="28"/>
        </w:rPr>
        <w:t xml:space="preserve">бюджету (без урахування офіційних трансфертів) склали </w:t>
      </w:r>
      <w:r w:rsidR="001D70D4">
        <w:rPr>
          <w:b/>
          <w:sz w:val="28"/>
          <w:szCs w:val="28"/>
          <w:lang w:val="ru-RU"/>
        </w:rPr>
        <w:t>801572,4</w:t>
      </w:r>
      <w:r w:rsidR="00142BE9" w:rsidRPr="00B947BE">
        <w:rPr>
          <w:b/>
          <w:sz w:val="28"/>
          <w:szCs w:val="28"/>
          <w:lang w:val="ru-RU"/>
        </w:rPr>
        <w:t xml:space="preserve"> т</w:t>
      </w:r>
      <w:r w:rsidRPr="00B947BE">
        <w:rPr>
          <w:b/>
          <w:sz w:val="28"/>
          <w:szCs w:val="28"/>
        </w:rPr>
        <w:t>ис.грн</w:t>
      </w:r>
      <w:r w:rsidRPr="00B947BE">
        <w:rPr>
          <w:sz w:val="28"/>
          <w:szCs w:val="28"/>
        </w:rPr>
        <w:t xml:space="preserve">, що становить </w:t>
      </w:r>
      <w:r w:rsidR="001D70D4">
        <w:rPr>
          <w:b/>
          <w:sz w:val="28"/>
          <w:szCs w:val="28"/>
          <w:lang w:val="ru-RU"/>
        </w:rPr>
        <w:t>100,5</w:t>
      </w:r>
      <w:r w:rsidR="00B2359A" w:rsidRPr="00B947BE">
        <w:rPr>
          <w:b/>
          <w:sz w:val="28"/>
          <w:szCs w:val="28"/>
          <w:lang w:val="ru-RU"/>
        </w:rPr>
        <w:t>%</w:t>
      </w:r>
      <w:r w:rsidR="00B96507" w:rsidRPr="00B947BE">
        <w:rPr>
          <w:b/>
          <w:sz w:val="28"/>
          <w:szCs w:val="28"/>
        </w:rPr>
        <w:t xml:space="preserve"> </w:t>
      </w:r>
      <w:r w:rsidR="007F7061" w:rsidRPr="00B947BE">
        <w:rPr>
          <w:b/>
          <w:sz w:val="28"/>
          <w:szCs w:val="28"/>
        </w:rPr>
        <w:t>(</w:t>
      </w:r>
      <w:r w:rsidR="002D7879" w:rsidRPr="00B947BE">
        <w:rPr>
          <w:sz w:val="28"/>
          <w:szCs w:val="28"/>
        </w:rPr>
        <w:t>+</w:t>
      </w:r>
      <w:r w:rsidR="001D70D4">
        <w:rPr>
          <w:b/>
          <w:sz w:val="28"/>
          <w:szCs w:val="28"/>
          <w:lang w:val="ru-RU"/>
        </w:rPr>
        <w:t>4053,4</w:t>
      </w:r>
      <w:r w:rsidR="006D3252" w:rsidRPr="00B947BE">
        <w:rPr>
          <w:b/>
          <w:sz w:val="28"/>
          <w:szCs w:val="28"/>
        </w:rPr>
        <w:t xml:space="preserve"> тис</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1D70D4">
        <w:rPr>
          <w:b/>
          <w:sz w:val="28"/>
          <w:szCs w:val="28"/>
          <w:lang w:val="ru-RU"/>
        </w:rPr>
        <w:t>110,4</w:t>
      </w:r>
      <w:r w:rsidRPr="00B947BE">
        <w:rPr>
          <w:b/>
          <w:sz w:val="28"/>
          <w:szCs w:val="28"/>
        </w:rPr>
        <w:t>%</w:t>
      </w:r>
      <w:r w:rsidRPr="00B947BE">
        <w:rPr>
          <w:sz w:val="28"/>
          <w:szCs w:val="28"/>
        </w:rPr>
        <w:t xml:space="preserve"> (</w:t>
      </w:r>
      <w:r w:rsidR="003D10B8" w:rsidRPr="00B947BE">
        <w:rPr>
          <w:b/>
          <w:sz w:val="28"/>
          <w:szCs w:val="28"/>
        </w:rPr>
        <w:t>+</w:t>
      </w:r>
      <w:r w:rsidR="001D70D4">
        <w:rPr>
          <w:b/>
          <w:sz w:val="28"/>
          <w:szCs w:val="28"/>
          <w:lang w:val="ru-RU"/>
        </w:rPr>
        <w:t>75569,5</w:t>
      </w:r>
      <w:r w:rsidR="006D3252" w:rsidRPr="00B947BE">
        <w:rPr>
          <w:b/>
          <w:sz w:val="28"/>
          <w:szCs w:val="28"/>
        </w:rPr>
        <w:t xml:space="preserve"> </w:t>
      </w:r>
      <w:r w:rsidRPr="00B947BE">
        <w:rPr>
          <w:b/>
          <w:sz w:val="28"/>
          <w:szCs w:val="28"/>
        </w:rPr>
        <w:t>тис.грн</w:t>
      </w:r>
      <w:r w:rsidRPr="00B947BE">
        <w:rPr>
          <w:sz w:val="28"/>
          <w:szCs w:val="28"/>
        </w:rPr>
        <w:t>) до показника 202</w:t>
      </w:r>
      <w:r w:rsidR="006D3252" w:rsidRPr="00B947BE">
        <w:rPr>
          <w:sz w:val="28"/>
          <w:szCs w:val="28"/>
        </w:rPr>
        <w:t>2</w:t>
      </w:r>
      <w:r w:rsidRPr="00B947BE">
        <w:rPr>
          <w:sz w:val="28"/>
          <w:szCs w:val="28"/>
        </w:rPr>
        <w:t xml:space="preserve"> року.</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В структурі власних доходів загального фонду бюджету податок та збір на доходи фізичних осіб</w:t>
      </w:r>
      <w:r w:rsidRPr="00270264">
        <w:rPr>
          <w:b/>
          <w:sz w:val="28"/>
          <w:szCs w:val="28"/>
        </w:rPr>
        <w:t xml:space="preserve"> </w:t>
      </w:r>
      <w:r w:rsidRPr="00270264">
        <w:rPr>
          <w:sz w:val="28"/>
          <w:szCs w:val="28"/>
        </w:rPr>
        <w:t>займає</w:t>
      </w:r>
      <w:r w:rsidRPr="00270264">
        <w:rPr>
          <w:b/>
          <w:sz w:val="28"/>
          <w:szCs w:val="28"/>
        </w:rPr>
        <w:t xml:space="preserve"> </w:t>
      </w:r>
      <w:r w:rsidR="00085984">
        <w:rPr>
          <w:b/>
          <w:sz w:val="28"/>
          <w:szCs w:val="28"/>
          <w:lang w:val="ru-RU"/>
        </w:rPr>
        <w:t>85,9</w:t>
      </w:r>
      <w:r w:rsidRPr="00270264">
        <w:rPr>
          <w:b/>
          <w:sz w:val="28"/>
          <w:szCs w:val="28"/>
        </w:rPr>
        <w:t>%</w:t>
      </w:r>
      <w:r w:rsidRPr="00270264">
        <w:rPr>
          <w:sz w:val="28"/>
          <w:szCs w:val="28"/>
        </w:rPr>
        <w:t xml:space="preserve">, його надходження склали </w:t>
      </w:r>
      <w:r w:rsidR="00177037">
        <w:rPr>
          <w:b/>
          <w:sz w:val="28"/>
          <w:szCs w:val="28"/>
          <w:lang w:val="ru-RU"/>
        </w:rPr>
        <w:t>688513,0</w:t>
      </w:r>
      <w:r w:rsidRPr="00613B10">
        <w:rPr>
          <w:b/>
          <w:sz w:val="28"/>
          <w:szCs w:val="28"/>
        </w:rPr>
        <w:t> тис.грн</w:t>
      </w:r>
      <w:r w:rsidRPr="00613B10">
        <w:rPr>
          <w:sz w:val="28"/>
          <w:szCs w:val="28"/>
        </w:rPr>
        <w:t>,</w:t>
      </w:r>
      <w:r w:rsidRPr="00270264">
        <w:rPr>
          <w:sz w:val="28"/>
          <w:szCs w:val="28"/>
        </w:rPr>
        <w:t xml:space="preserve"> що </w:t>
      </w:r>
      <w:r w:rsidR="001D7B43" w:rsidRPr="00270264">
        <w:rPr>
          <w:sz w:val="28"/>
          <w:szCs w:val="28"/>
        </w:rPr>
        <w:t xml:space="preserve">на </w:t>
      </w:r>
      <w:r w:rsidR="00177037">
        <w:rPr>
          <w:b/>
          <w:sz w:val="28"/>
          <w:szCs w:val="28"/>
          <w:lang w:val="ru-RU"/>
        </w:rPr>
        <w:t>1098,6</w:t>
      </w:r>
      <w:r w:rsidR="001D7B43" w:rsidRPr="00270264">
        <w:rPr>
          <w:b/>
          <w:sz w:val="28"/>
          <w:szCs w:val="28"/>
        </w:rPr>
        <w:t xml:space="preserve"> тис.грн</w:t>
      </w:r>
      <w:r w:rsidR="001D7B43" w:rsidRPr="00270264">
        <w:rPr>
          <w:sz w:val="28"/>
          <w:szCs w:val="28"/>
        </w:rPr>
        <w:t xml:space="preserve">, або на </w:t>
      </w:r>
      <w:r w:rsidR="00ED7A7C">
        <w:rPr>
          <w:b/>
          <w:sz w:val="28"/>
          <w:szCs w:val="28"/>
          <w:lang w:val="ru-RU"/>
        </w:rPr>
        <w:t>0,</w:t>
      </w:r>
      <w:r w:rsidR="00177037">
        <w:rPr>
          <w:b/>
          <w:sz w:val="28"/>
          <w:szCs w:val="28"/>
          <w:lang w:val="ru-RU"/>
        </w:rPr>
        <w:t>2</w:t>
      </w:r>
      <w:r w:rsidR="001D7B43" w:rsidRPr="00270264">
        <w:rPr>
          <w:b/>
          <w:sz w:val="28"/>
          <w:szCs w:val="28"/>
        </w:rPr>
        <w:t xml:space="preserve"> %</w:t>
      </w:r>
      <w:r w:rsidR="001D7B43" w:rsidRPr="00270264">
        <w:rPr>
          <w:sz w:val="28"/>
          <w:szCs w:val="28"/>
        </w:rPr>
        <w:t xml:space="preserve">, більше планового показника та </w:t>
      </w:r>
      <w:r w:rsidRPr="00270264">
        <w:rPr>
          <w:sz w:val="28"/>
          <w:szCs w:val="28"/>
        </w:rPr>
        <w:t xml:space="preserve">на </w:t>
      </w:r>
      <w:r w:rsidR="00773BED">
        <w:rPr>
          <w:b/>
          <w:sz w:val="28"/>
          <w:szCs w:val="28"/>
        </w:rPr>
        <w:t> </w:t>
      </w:r>
      <w:r w:rsidR="00177037">
        <w:rPr>
          <w:b/>
          <w:sz w:val="28"/>
          <w:szCs w:val="28"/>
          <w:lang w:val="ru-RU"/>
        </w:rPr>
        <w:t>54385,9</w:t>
      </w:r>
      <w:r w:rsidRPr="00270264">
        <w:rPr>
          <w:b/>
          <w:sz w:val="28"/>
          <w:szCs w:val="28"/>
        </w:rPr>
        <w:t> </w:t>
      </w:r>
      <w:r w:rsidRPr="00613B10">
        <w:rPr>
          <w:b/>
          <w:sz w:val="28"/>
          <w:szCs w:val="28"/>
        </w:rPr>
        <w:t>тис.грн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177037">
        <w:rPr>
          <w:b/>
          <w:sz w:val="28"/>
          <w:szCs w:val="28"/>
        </w:rPr>
        <w:t>8,6</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за минул</w:t>
      </w:r>
      <w:r w:rsidR="009D083E">
        <w:rPr>
          <w:sz w:val="28"/>
          <w:szCs w:val="28"/>
        </w:rPr>
        <w:t>ий</w:t>
      </w:r>
      <w:r w:rsidRPr="00270264">
        <w:rPr>
          <w:sz w:val="28"/>
          <w:szCs w:val="28"/>
        </w:rPr>
        <w:t xml:space="preserve"> р</w:t>
      </w:r>
      <w:r w:rsidR="009D083E">
        <w:rPr>
          <w:sz w:val="28"/>
          <w:szCs w:val="28"/>
        </w:rPr>
        <w:t>і</w:t>
      </w:r>
      <w:r w:rsidRPr="00270264">
        <w:rPr>
          <w:sz w:val="28"/>
          <w:szCs w:val="28"/>
        </w:rPr>
        <w:t>к.</w:t>
      </w:r>
    </w:p>
    <w:p w:rsidR="00497D4A" w:rsidRPr="004C3A41" w:rsidRDefault="00497D4A" w:rsidP="0035258A">
      <w:pPr>
        <w:tabs>
          <w:tab w:val="left" w:pos="567"/>
          <w:tab w:val="left" w:pos="851"/>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 бюджету складає </w:t>
      </w:r>
      <w:r w:rsidR="00D700A1" w:rsidRPr="004C3A41">
        <w:rPr>
          <w:b/>
          <w:sz w:val="28"/>
          <w:szCs w:val="28"/>
        </w:rPr>
        <w:t>9,</w:t>
      </w:r>
      <w:r w:rsidR="00540663">
        <w:rPr>
          <w:b/>
          <w:sz w:val="28"/>
          <w:szCs w:val="28"/>
        </w:rPr>
        <w:t>9</w:t>
      </w:r>
      <w:r w:rsidRPr="004C3A41">
        <w:rPr>
          <w:b/>
          <w:sz w:val="28"/>
          <w:szCs w:val="28"/>
        </w:rPr>
        <w:t>%</w:t>
      </w:r>
      <w:r w:rsidRPr="004C3A41">
        <w:rPr>
          <w:sz w:val="28"/>
          <w:szCs w:val="28"/>
        </w:rPr>
        <w:t xml:space="preserve">. Фактичні їх надходження склали </w:t>
      </w:r>
      <w:r w:rsidR="00540663">
        <w:rPr>
          <w:b/>
          <w:sz w:val="28"/>
          <w:szCs w:val="28"/>
          <w:lang w:val="ru-RU"/>
        </w:rPr>
        <w:t>79462,8</w:t>
      </w:r>
      <w:r w:rsidR="00A854EB" w:rsidRPr="004C3A41">
        <w:rPr>
          <w:b/>
          <w:sz w:val="28"/>
          <w:szCs w:val="28"/>
        </w:rPr>
        <w:t xml:space="preserve"> </w:t>
      </w:r>
      <w:r w:rsidR="00613B10">
        <w:rPr>
          <w:b/>
          <w:sz w:val="28"/>
          <w:szCs w:val="28"/>
        </w:rPr>
        <w:t>тис.</w:t>
      </w:r>
      <w:r w:rsidRPr="00613B10">
        <w:rPr>
          <w:b/>
          <w:sz w:val="28"/>
          <w:szCs w:val="28"/>
        </w:rPr>
        <w:t>грн</w:t>
      </w:r>
      <w:r w:rsidRPr="004C3A41">
        <w:rPr>
          <w:sz w:val="28"/>
          <w:szCs w:val="28"/>
        </w:rPr>
        <w:t xml:space="preserve">, що </w:t>
      </w:r>
      <w:r w:rsidR="00006415" w:rsidRPr="004C3A41">
        <w:rPr>
          <w:sz w:val="28"/>
          <w:szCs w:val="28"/>
        </w:rPr>
        <w:t xml:space="preserve">на </w:t>
      </w:r>
      <w:r w:rsidR="00540663">
        <w:rPr>
          <w:b/>
          <w:sz w:val="28"/>
          <w:szCs w:val="28"/>
          <w:lang w:val="ru-RU"/>
        </w:rPr>
        <w:t>1989,6</w:t>
      </w:r>
      <w:r w:rsidR="00AF6A1B">
        <w:rPr>
          <w:b/>
          <w:sz w:val="28"/>
          <w:szCs w:val="28"/>
        </w:rPr>
        <w:t xml:space="preserve"> </w:t>
      </w:r>
      <w:r w:rsidR="00006415" w:rsidRPr="004C3A41">
        <w:rPr>
          <w:b/>
          <w:sz w:val="28"/>
          <w:szCs w:val="28"/>
        </w:rPr>
        <w:t>тис.грн</w:t>
      </w:r>
      <w:r w:rsidR="00006415" w:rsidRPr="004C3A41">
        <w:rPr>
          <w:sz w:val="28"/>
          <w:szCs w:val="28"/>
        </w:rPr>
        <w:t xml:space="preserve">, або на </w:t>
      </w:r>
      <w:r w:rsidR="00540663">
        <w:rPr>
          <w:b/>
          <w:sz w:val="28"/>
          <w:szCs w:val="28"/>
          <w:lang w:val="ru-RU"/>
        </w:rPr>
        <w:t>2,6</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540663">
        <w:rPr>
          <w:b/>
          <w:sz w:val="28"/>
          <w:szCs w:val="28"/>
          <w:lang w:val="ru-RU"/>
        </w:rPr>
        <w:t>11609,4</w:t>
      </w:r>
      <w:r w:rsidRPr="004C3A41">
        <w:rPr>
          <w:b/>
          <w:sz w:val="28"/>
          <w:szCs w:val="28"/>
        </w:rPr>
        <w:t> </w:t>
      </w:r>
      <w:r w:rsidRPr="00613B10">
        <w:rPr>
          <w:b/>
          <w:sz w:val="28"/>
          <w:szCs w:val="28"/>
        </w:rPr>
        <w:t>тис.грн,</w:t>
      </w:r>
      <w:r w:rsidRPr="004C3A41">
        <w:rPr>
          <w:sz w:val="28"/>
          <w:szCs w:val="28"/>
        </w:rPr>
        <w:t xml:space="preserve"> або на </w:t>
      </w:r>
      <w:r w:rsidR="00540663">
        <w:rPr>
          <w:b/>
          <w:sz w:val="28"/>
          <w:szCs w:val="28"/>
          <w:lang w:val="ru-RU"/>
        </w:rPr>
        <w:t>17,1</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 xml:space="preserve">проти таких надходжень </w:t>
      </w:r>
      <w:r w:rsidR="008D4F02">
        <w:rPr>
          <w:sz w:val="28"/>
          <w:szCs w:val="28"/>
          <w:lang w:val="ru-RU"/>
        </w:rPr>
        <w:t xml:space="preserve">у </w:t>
      </w:r>
      <w:r w:rsidRPr="004C3A41">
        <w:rPr>
          <w:sz w:val="28"/>
          <w:szCs w:val="28"/>
        </w:rPr>
        <w:t>минуло</w:t>
      </w:r>
      <w:proofErr w:type="spellStart"/>
      <w:r w:rsidR="008D4F02">
        <w:rPr>
          <w:sz w:val="28"/>
          <w:szCs w:val="28"/>
          <w:lang w:val="ru-RU"/>
        </w:rPr>
        <w:t>му</w:t>
      </w:r>
      <w:proofErr w:type="spellEnd"/>
      <w:r w:rsidRPr="004C3A41">
        <w:rPr>
          <w:sz w:val="28"/>
          <w:szCs w:val="28"/>
        </w:rPr>
        <w:t xml:space="preserve"> ро</w:t>
      </w:r>
      <w:proofErr w:type="spellStart"/>
      <w:r w:rsidR="008D4F02">
        <w:rPr>
          <w:sz w:val="28"/>
          <w:szCs w:val="28"/>
          <w:lang w:val="ru-RU"/>
        </w:rPr>
        <w:t>ці</w:t>
      </w:r>
      <w:proofErr w:type="spellEnd"/>
      <w:r w:rsidRPr="004C3A41">
        <w:rPr>
          <w:sz w:val="28"/>
          <w:szCs w:val="28"/>
        </w:rPr>
        <w:t>.</w:t>
      </w:r>
      <w:r w:rsidRPr="004C3A41">
        <w:rPr>
          <w:b/>
          <w:sz w:val="28"/>
          <w:szCs w:val="28"/>
        </w:rPr>
        <w:t xml:space="preserve"> </w:t>
      </w:r>
      <w:r w:rsidRPr="004C3A41">
        <w:rPr>
          <w:sz w:val="28"/>
          <w:szCs w:val="28"/>
        </w:rPr>
        <w:t xml:space="preserve">   </w:t>
      </w:r>
    </w:p>
    <w:p w:rsidR="00497D4A" w:rsidRPr="00A769F0" w:rsidRDefault="00497D4A" w:rsidP="0021157D">
      <w:pPr>
        <w:tabs>
          <w:tab w:val="left" w:pos="567"/>
          <w:tab w:val="left" w:pos="851"/>
        </w:tabs>
        <w:ind w:firstLine="851"/>
        <w:jc w:val="both"/>
        <w:rPr>
          <w:sz w:val="28"/>
          <w:szCs w:val="28"/>
        </w:rPr>
      </w:pPr>
      <w:r w:rsidRPr="00A769F0">
        <w:rPr>
          <w:sz w:val="28"/>
          <w:szCs w:val="28"/>
        </w:rPr>
        <w:t>Найбільша питома вага в структурі надходжень місцевих податків і зборів припадає на:</w:t>
      </w:r>
    </w:p>
    <w:p w:rsidR="009A2B81" w:rsidRPr="007157A5" w:rsidRDefault="009A2B81" w:rsidP="0021157D">
      <w:pPr>
        <w:tabs>
          <w:tab w:val="left" w:pos="567"/>
          <w:tab w:val="left" w:pos="851"/>
        </w:tabs>
        <w:ind w:firstLine="851"/>
        <w:jc w:val="both"/>
        <w:rPr>
          <w:sz w:val="28"/>
          <w:szCs w:val="28"/>
        </w:rPr>
      </w:pPr>
      <w:r w:rsidRPr="007157A5">
        <w:rPr>
          <w:sz w:val="28"/>
          <w:szCs w:val="28"/>
        </w:rPr>
        <w:t xml:space="preserve">плату за землю -  </w:t>
      </w:r>
      <w:r w:rsidR="009D083E">
        <w:rPr>
          <w:b/>
          <w:sz w:val="28"/>
          <w:szCs w:val="28"/>
          <w:lang w:val="ru-RU"/>
        </w:rPr>
        <w:t>52,6</w:t>
      </w:r>
      <w:r w:rsidRPr="007157A5">
        <w:rPr>
          <w:b/>
          <w:sz w:val="28"/>
          <w:szCs w:val="28"/>
        </w:rPr>
        <w:t xml:space="preserve">% </w:t>
      </w:r>
      <w:r w:rsidRPr="007157A5">
        <w:rPr>
          <w:sz w:val="28"/>
          <w:szCs w:val="28"/>
        </w:rPr>
        <w:t>(</w:t>
      </w:r>
      <w:r w:rsidR="009D083E">
        <w:rPr>
          <w:b/>
          <w:sz w:val="28"/>
          <w:szCs w:val="28"/>
          <w:lang w:val="ru-RU"/>
        </w:rPr>
        <w:t>41816,6</w:t>
      </w:r>
      <w:r w:rsidRPr="007157A5">
        <w:rPr>
          <w:b/>
          <w:sz w:val="28"/>
          <w:szCs w:val="28"/>
        </w:rPr>
        <w:t xml:space="preserve"> тис.грн</w:t>
      </w:r>
      <w:r w:rsidRPr="007157A5">
        <w:rPr>
          <w:sz w:val="28"/>
          <w:szCs w:val="28"/>
        </w:rPr>
        <w:t xml:space="preserve">). Приріст надходжень плати за землю проти 2022 року склав </w:t>
      </w:r>
      <w:r w:rsidR="009D083E">
        <w:rPr>
          <w:b/>
          <w:sz w:val="28"/>
          <w:szCs w:val="28"/>
          <w:lang w:val="ru-RU"/>
        </w:rPr>
        <w:t>16,5</w:t>
      </w:r>
      <w:r w:rsidRPr="007157A5">
        <w:rPr>
          <w:b/>
          <w:sz w:val="28"/>
          <w:szCs w:val="28"/>
        </w:rPr>
        <w:t>%</w:t>
      </w:r>
      <w:r w:rsidRPr="007157A5">
        <w:rPr>
          <w:sz w:val="28"/>
          <w:szCs w:val="28"/>
        </w:rPr>
        <w:t xml:space="preserve"> </w:t>
      </w:r>
      <w:r w:rsidRPr="007157A5">
        <w:rPr>
          <w:b/>
          <w:sz w:val="28"/>
          <w:szCs w:val="28"/>
        </w:rPr>
        <w:t>(+</w:t>
      </w:r>
      <w:r w:rsidR="005E4A48">
        <w:rPr>
          <w:b/>
          <w:sz w:val="28"/>
          <w:szCs w:val="28"/>
        </w:rPr>
        <w:t xml:space="preserve"> </w:t>
      </w:r>
      <w:r w:rsidR="009D083E">
        <w:rPr>
          <w:b/>
          <w:sz w:val="28"/>
          <w:szCs w:val="28"/>
          <w:lang w:val="ru-RU"/>
        </w:rPr>
        <w:t>5920,3</w:t>
      </w:r>
      <w:r w:rsidRPr="007157A5">
        <w:rPr>
          <w:b/>
          <w:sz w:val="28"/>
          <w:szCs w:val="28"/>
        </w:rPr>
        <w:t xml:space="preserve"> тис.грн</w:t>
      </w:r>
      <w:r w:rsidRPr="007157A5">
        <w:rPr>
          <w:sz w:val="28"/>
          <w:szCs w:val="28"/>
        </w:rPr>
        <w:t>);</w:t>
      </w:r>
    </w:p>
    <w:p w:rsidR="003D04D4" w:rsidRDefault="003D04D4" w:rsidP="0021157D">
      <w:pPr>
        <w:tabs>
          <w:tab w:val="left" w:pos="567"/>
          <w:tab w:val="left" w:pos="851"/>
        </w:tabs>
        <w:ind w:firstLine="851"/>
        <w:jc w:val="both"/>
        <w:rPr>
          <w:sz w:val="28"/>
          <w:szCs w:val="28"/>
        </w:rPr>
      </w:pPr>
      <w:r w:rsidRPr="0067642D">
        <w:rPr>
          <w:sz w:val="28"/>
          <w:szCs w:val="28"/>
        </w:rPr>
        <w:t xml:space="preserve">єдиний податок  - </w:t>
      </w:r>
      <w:r w:rsidR="002B062B">
        <w:rPr>
          <w:b/>
          <w:sz w:val="28"/>
          <w:szCs w:val="28"/>
          <w:lang w:val="ru-RU"/>
        </w:rPr>
        <w:t>40,2</w:t>
      </w:r>
      <w:r w:rsidRPr="0067642D">
        <w:rPr>
          <w:b/>
          <w:sz w:val="28"/>
          <w:szCs w:val="28"/>
        </w:rPr>
        <w:t xml:space="preserve">% </w:t>
      </w:r>
      <w:r w:rsidRPr="0067642D">
        <w:rPr>
          <w:sz w:val="28"/>
          <w:szCs w:val="28"/>
        </w:rPr>
        <w:t>(</w:t>
      </w:r>
      <w:r w:rsidR="002B062B">
        <w:rPr>
          <w:b/>
          <w:sz w:val="28"/>
          <w:szCs w:val="28"/>
          <w:lang w:val="ru-RU"/>
        </w:rPr>
        <w:t>31908,6</w:t>
      </w:r>
      <w:r w:rsidRPr="0067642D">
        <w:rPr>
          <w:sz w:val="28"/>
          <w:szCs w:val="28"/>
        </w:rPr>
        <w:t xml:space="preserve"> </w:t>
      </w:r>
      <w:r w:rsidRPr="0067642D">
        <w:rPr>
          <w:b/>
          <w:sz w:val="28"/>
          <w:szCs w:val="28"/>
        </w:rPr>
        <w:t>тис.грн</w:t>
      </w:r>
      <w:r w:rsidRPr="0067642D">
        <w:rPr>
          <w:sz w:val="28"/>
          <w:szCs w:val="28"/>
        </w:rPr>
        <w:t xml:space="preserve">). </w:t>
      </w:r>
      <w:r w:rsidR="002E56D9" w:rsidRPr="0067642D">
        <w:rPr>
          <w:sz w:val="28"/>
          <w:szCs w:val="28"/>
        </w:rPr>
        <w:t>Приріст</w:t>
      </w:r>
      <w:r w:rsidRPr="0067642D">
        <w:rPr>
          <w:sz w:val="28"/>
          <w:szCs w:val="28"/>
        </w:rPr>
        <w:t xml:space="preserve"> надходжень єдиного податку проти 202</w:t>
      </w:r>
      <w:r w:rsidR="00417CB8" w:rsidRPr="0067642D">
        <w:rPr>
          <w:sz w:val="28"/>
          <w:szCs w:val="28"/>
        </w:rPr>
        <w:t>2</w:t>
      </w:r>
      <w:r w:rsidRPr="0067642D">
        <w:rPr>
          <w:sz w:val="28"/>
          <w:szCs w:val="28"/>
        </w:rPr>
        <w:t xml:space="preserve"> року склав </w:t>
      </w:r>
      <w:r w:rsidR="003D0DA0">
        <w:rPr>
          <w:b/>
          <w:sz w:val="28"/>
          <w:szCs w:val="28"/>
          <w:lang w:val="ru-RU"/>
        </w:rPr>
        <w:t>17,</w:t>
      </w:r>
      <w:r w:rsidR="002B062B">
        <w:rPr>
          <w:b/>
          <w:sz w:val="28"/>
          <w:szCs w:val="28"/>
          <w:lang w:val="ru-RU"/>
        </w:rPr>
        <w:t>7</w:t>
      </w:r>
      <w:r w:rsidRPr="0067642D">
        <w:rPr>
          <w:b/>
          <w:sz w:val="28"/>
          <w:szCs w:val="28"/>
        </w:rPr>
        <w:t>%</w:t>
      </w:r>
      <w:r w:rsidRPr="0067642D">
        <w:rPr>
          <w:sz w:val="28"/>
          <w:szCs w:val="28"/>
        </w:rPr>
        <w:t xml:space="preserve"> (</w:t>
      </w:r>
      <w:r w:rsidR="002E56D9" w:rsidRPr="0067642D">
        <w:rPr>
          <w:sz w:val="28"/>
          <w:szCs w:val="28"/>
        </w:rPr>
        <w:t>+</w:t>
      </w:r>
      <w:r w:rsidR="003D0DA0">
        <w:rPr>
          <w:sz w:val="28"/>
          <w:szCs w:val="28"/>
        </w:rPr>
        <w:t xml:space="preserve"> </w:t>
      </w:r>
      <w:r w:rsidR="002B062B">
        <w:rPr>
          <w:b/>
          <w:sz w:val="28"/>
          <w:szCs w:val="28"/>
          <w:lang w:val="ru-RU"/>
        </w:rPr>
        <w:t>4809,6</w:t>
      </w:r>
      <w:r w:rsidRPr="0067642D">
        <w:rPr>
          <w:b/>
          <w:sz w:val="28"/>
          <w:szCs w:val="28"/>
        </w:rPr>
        <w:t xml:space="preserve"> тис.грн</w:t>
      </w:r>
      <w:r w:rsidRPr="0067642D">
        <w:rPr>
          <w:sz w:val="28"/>
          <w:szCs w:val="28"/>
        </w:rPr>
        <w:t>)</w:t>
      </w:r>
      <w:r w:rsidR="00DA3AAC">
        <w:rPr>
          <w:sz w:val="28"/>
          <w:szCs w:val="28"/>
        </w:rPr>
        <w:t>;</w:t>
      </w:r>
    </w:p>
    <w:p w:rsidR="00DA3AAC" w:rsidRPr="0067642D" w:rsidRDefault="00DA3AAC" w:rsidP="0021157D">
      <w:pPr>
        <w:tabs>
          <w:tab w:val="left" w:pos="567"/>
          <w:tab w:val="left" w:pos="851"/>
        </w:tabs>
        <w:ind w:firstLine="851"/>
        <w:jc w:val="both"/>
        <w:rPr>
          <w:sz w:val="28"/>
          <w:szCs w:val="28"/>
        </w:rPr>
      </w:pPr>
      <w:r>
        <w:rPr>
          <w:sz w:val="28"/>
          <w:szCs w:val="28"/>
        </w:rPr>
        <w:t>податку на нерухоме майно, відмінне від земельної ділянки,</w:t>
      </w:r>
      <w:r w:rsidRPr="00DA3AAC">
        <w:rPr>
          <w:sz w:val="28"/>
          <w:szCs w:val="28"/>
        </w:rPr>
        <w:t xml:space="preserve"> </w:t>
      </w:r>
      <w:r w:rsidRPr="0067642D">
        <w:rPr>
          <w:sz w:val="28"/>
          <w:szCs w:val="28"/>
        </w:rPr>
        <w:t>-</w:t>
      </w:r>
      <w:r w:rsidR="00AF6A1B">
        <w:rPr>
          <w:sz w:val="28"/>
          <w:szCs w:val="28"/>
        </w:rPr>
        <w:t xml:space="preserve">  </w:t>
      </w:r>
      <w:r w:rsidR="00815CA9">
        <w:rPr>
          <w:b/>
          <w:sz w:val="28"/>
          <w:szCs w:val="28"/>
          <w:lang w:val="ru-RU"/>
        </w:rPr>
        <w:t>6,9</w:t>
      </w:r>
      <w:r w:rsidRPr="0067642D">
        <w:rPr>
          <w:b/>
          <w:sz w:val="28"/>
          <w:szCs w:val="28"/>
        </w:rPr>
        <w:t xml:space="preserve">% </w:t>
      </w:r>
      <w:r w:rsidRPr="0067642D">
        <w:rPr>
          <w:sz w:val="28"/>
          <w:szCs w:val="28"/>
        </w:rPr>
        <w:t>(</w:t>
      </w:r>
      <w:r w:rsidR="00815CA9">
        <w:rPr>
          <w:b/>
          <w:sz w:val="28"/>
          <w:szCs w:val="28"/>
          <w:lang w:val="ru-RU"/>
        </w:rPr>
        <w:t>5520,0</w:t>
      </w:r>
      <w:r w:rsidRPr="0067642D">
        <w:rPr>
          <w:sz w:val="28"/>
          <w:szCs w:val="28"/>
        </w:rPr>
        <w:t xml:space="preserve"> </w:t>
      </w:r>
      <w:r w:rsidRPr="0067642D">
        <w:rPr>
          <w:b/>
          <w:sz w:val="28"/>
          <w:szCs w:val="28"/>
        </w:rPr>
        <w:t>тис.грн</w:t>
      </w:r>
      <w:r w:rsidRPr="0067642D">
        <w:rPr>
          <w:sz w:val="28"/>
          <w:szCs w:val="28"/>
        </w:rPr>
        <w:t>). Приріст надходжень податку</w:t>
      </w:r>
      <w:r w:rsidR="0093396E">
        <w:rPr>
          <w:sz w:val="28"/>
          <w:szCs w:val="28"/>
        </w:rPr>
        <w:t xml:space="preserve"> на нерухоме майно</w:t>
      </w:r>
      <w:r w:rsidRPr="0067642D">
        <w:rPr>
          <w:sz w:val="28"/>
          <w:szCs w:val="28"/>
        </w:rPr>
        <w:t xml:space="preserve"> проти 2022 року склав </w:t>
      </w:r>
      <w:r w:rsidR="00815CA9">
        <w:rPr>
          <w:b/>
          <w:sz w:val="28"/>
          <w:szCs w:val="28"/>
          <w:lang w:val="ru-RU"/>
        </w:rPr>
        <w:t>14,9</w:t>
      </w:r>
      <w:r w:rsidRPr="0067642D">
        <w:rPr>
          <w:b/>
          <w:sz w:val="28"/>
          <w:szCs w:val="28"/>
        </w:rPr>
        <w:t>%</w:t>
      </w:r>
      <w:r w:rsidRPr="0067642D">
        <w:rPr>
          <w:sz w:val="28"/>
          <w:szCs w:val="28"/>
        </w:rPr>
        <w:t xml:space="preserve"> (+</w:t>
      </w:r>
      <w:r w:rsidR="00815CA9">
        <w:rPr>
          <w:b/>
          <w:sz w:val="28"/>
          <w:szCs w:val="28"/>
          <w:lang w:val="ru-RU"/>
        </w:rPr>
        <w:t>715,6</w:t>
      </w:r>
      <w:r w:rsidRPr="0067642D">
        <w:rPr>
          <w:b/>
          <w:sz w:val="28"/>
          <w:szCs w:val="28"/>
        </w:rPr>
        <w:t xml:space="preserve"> тис.грн</w:t>
      </w:r>
      <w:r w:rsidRPr="0067642D">
        <w:rPr>
          <w:sz w:val="28"/>
          <w:szCs w:val="28"/>
        </w:rPr>
        <w:t>)</w:t>
      </w:r>
      <w:r>
        <w:rPr>
          <w:sz w:val="28"/>
          <w:szCs w:val="28"/>
        </w:rPr>
        <w:t>.</w:t>
      </w:r>
    </w:p>
    <w:p w:rsidR="00497D4A" w:rsidRPr="004F2DB2" w:rsidRDefault="00497D4A" w:rsidP="005C328C">
      <w:pPr>
        <w:tabs>
          <w:tab w:val="left" w:pos="567"/>
          <w:tab w:val="left" w:pos="851"/>
        </w:tabs>
        <w:ind w:firstLine="851"/>
        <w:jc w:val="both"/>
        <w:rPr>
          <w:sz w:val="28"/>
          <w:szCs w:val="28"/>
        </w:rPr>
      </w:pPr>
      <w:r w:rsidRPr="004F2DB2">
        <w:rPr>
          <w:sz w:val="28"/>
          <w:szCs w:val="28"/>
        </w:rPr>
        <w:t xml:space="preserve">Надходження </w:t>
      </w:r>
      <w:r w:rsidR="00646520" w:rsidRPr="004F2DB2">
        <w:rPr>
          <w:sz w:val="28"/>
          <w:szCs w:val="28"/>
        </w:rPr>
        <w:t>внутрішніх податків на товари та послуги (</w:t>
      </w:r>
      <w:r w:rsidRPr="004F2DB2">
        <w:rPr>
          <w:sz w:val="28"/>
          <w:szCs w:val="28"/>
        </w:rPr>
        <w:t>акцизного податку</w:t>
      </w:r>
      <w:r w:rsidR="00646520" w:rsidRPr="004F2DB2">
        <w:rPr>
          <w:sz w:val="28"/>
          <w:szCs w:val="28"/>
        </w:rPr>
        <w:t>)</w:t>
      </w:r>
      <w:r w:rsidRPr="004F2DB2">
        <w:rPr>
          <w:sz w:val="28"/>
          <w:szCs w:val="28"/>
        </w:rPr>
        <w:t xml:space="preserve"> </w:t>
      </w:r>
      <w:r w:rsidR="009C214A" w:rsidRPr="004F2DB2">
        <w:rPr>
          <w:sz w:val="28"/>
          <w:szCs w:val="28"/>
        </w:rPr>
        <w:t xml:space="preserve">склали </w:t>
      </w:r>
      <w:r w:rsidR="00456F02">
        <w:rPr>
          <w:b/>
          <w:sz w:val="28"/>
          <w:szCs w:val="28"/>
          <w:lang w:val="ru-RU"/>
        </w:rPr>
        <w:t>22864,0</w:t>
      </w:r>
      <w:r w:rsidR="006D67B0">
        <w:rPr>
          <w:b/>
          <w:sz w:val="28"/>
          <w:szCs w:val="28"/>
          <w:lang w:val="ru-RU"/>
        </w:rPr>
        <w:t xml:space="preserve"> </w:t>
      </w:r>
      <w:r w:rsidRPr="004F2DB2">
        <w:rPr>
          <w:b/>
          <w:sz w:val="28"/>
          <w:szCs w:val="28"/>
        </w:rPr>
        <w:t>тис.грн</w:t>
      </w:r>
      <w:r w:rsidR="009C214A" w:rsidRPr="004F2DB2">
        <w:rPr>
          <w:b/>
          <w:sz w:val="28"/>
          <w:szCs w:val="28"/>
        </w:rPr>
        <w:t xml:space="preserve">, </w:t>
      </w:r>
      <w:r w:rsidR="009C214A" w:rsidRPr="004F2DB2">
        <w:rPr>
          <w:sz w:val="28"/>
          <w:szCs w:val="28"/>
        </w:rPr>
        <w:t xml:space="preserve">що становить </w:t>
      </w:r>
      <w:r w:rsidR="00520A23" w:rsidRPr="004F2DB2">
        <w:rPr>
          <w:b/>
          <w:sz w:val="28"/>
          <w:szCs w:val="28"/>
        </w:rPr>
        <w:t>2,</w:t>
      </w:r>
      <w:r w:rsidR="00E26DAC">
        <w:rPr>
          <w:b/>
          <w:sz w:val="28"/>
          <w:szCs w:val="28"/>
          <w:lang w:val="ru-RU"/>
        </w:rPr>
        <w:t>8</w:t>
      </w:r>
      <w:r w:rsidR="009C214A" w:rsidRPr="004F2DB2">
        <w:rPr>
          <w:b/>
          <w:sz w:val="28"/>
          <w:szCs w:val="28"/>
        </w:rPr>
        <w:t>%</w:t>
      </w:r>
      <w:r w:rsidR="009C214A" w:rsidRPr="004F2DB2">
        <w:rPr>
          <w:sz w:val="28"/>
          <w:szCs w:val="28"/>
        </w:rPr>
        <w:t xml:space="preserve"> </w:t>
      </w:r>
      <w:r w:rsidRPr="004F2DB2">
        <w:rPr>
          <w:sz w:val="28"/>
          <w:szCs w:val="28"/>
        </w:rPr>
        <w:t xml:space="preserve">від обсягу власних доходів загального фонду бюджету. </w:t>
      </w:r>
      <w:r w:rsidR="005C328C" w:rsidRPr="004F2DB2">
        <w:rPr>
          <w:sz w:val="28"/>
          <w:szCs w:val="28"/>
        </w:rPr>
        <w:t xml:space="preserve">Проти </w:t>
      </w:r>
      <w:r w:rsidR="00456F02">
        <w:rPr>
          <w:sz w:val="28"/>
          <w:szCs w:val="28"/>
        </w:rPr>
        <w:t>минулого року</w:t>
      </w:r>
      <w:r w:rsidR="005C328C" w:rsidRPr="004F2DB2">
        <w:rPr>
          <w:sz w:val="28"/>
          <w:szCs w:val="28"/>
        </w:rPr>
        <w:t xml:space="preserve"> приріст </w:t>
      </w:r>
      <w:r w:rsidR="000623A3">
        <w:rPr>
          <w:sz w:val="28"/>
          <w:szCs w:val="28"/>
        </w:rPr>
        <w:t>акцизного податку</w:t>
      </w:r>
      <w:r w:rsidR="005C328C" w:rsidRPr="004F2DB2">
        <w:rPr>
          <w:sz w:val="28"/>
          <w:szCs w:val="28"/>
        </w:rPr>
        <w:t xml:space="preserve"> склав </w:t>
      </w:r>
      <w:r w:rsidR="00456F02">
        <w:rPr>
          <w:b/>
          <w:sz w:val="28"/>
          <w:szCs w:val="28"/>
          <w:lang w:val="ru-RU"/>
        </w:rPr>
        <w:t>58,7</w:t>
      </w:r>
      <w:r w:rsidR="005C328C" w:rsidRPr="004F2DB2">
        <w:rPr>
          <w:b/>
          <w:sz w:val="28"/>
          <w:szCs w:val="28"/>
        </w:rPr>
        <w:t>%</w:t>
      </w:r>
      <w:r w:rsidR="005C328C" w:rsidRPr="004F2DB2">
        <w:rPr>
          <w:sz w:val="28"/>
          <w:szCs w:val="28"/>
        </w:rPr>
        <w:t xml:space="preserve"> (+</w:t>
      </w:r>
      <w:r w:rsidR="00E26DAC">
        <w:rPr>
          <w:sz w:val="28"/>
          <w:szCs w:val="28"/>
        </w:rPr>
        <w:t xml:space="preserve"> </w:t>
      </w:r>
      <w:r w:rsidR="00456F02">
        <w:rPr>
          <w:b/>
          <w:sz w:val="28"/>
          <w:szCs w:val="28"/>
          <w:lang w:val="ru-RU"/>
        </w:rPr>
        <w:t>8454,5</w:t>
      </w:r>
      <w:r w:rsidR="00E85135" w:rsidRPr="004F2DB2">
        <w:rPr>
          <w:sz w:val="28"/>
          <w:szCs w:val="28"/>
        </w:rPr>
        <w:t xml:space="preserve"> </w:t>
      </w:r>
      <w:r w:rsidR="005C328C" w:rsidRPr="004F2DB2">
        <w:rPr>
          <w:sz w:val="28"/>
          <w:szCs w:val="28"/>
        </w:rPr>
        <w:t>тис.грн).</w:t>
      </w:r>
    </w:p>
    <w:p w:rsidR="00BC7F70" w:rsidRPr="005971E6" w:rsidRDefault="00BC7F70" w:rsidP="00BC7F70">
      <w:pPr>
        <w:tabs>
          <w:tab w:val="left" w:pos="567"/>
          <w:tab w:val="left" w:pos="851"/>
        </w:tabs>
        <w:ind w:firstLine="851"/>
        <w:jc w:val="both"/>
        <w:rPr>
          <w:sz w:val="28"/>
          <w:szCs w:val="28"/>
        </w:rPr>
      </w:pPr>
      <w:r w:rsidRPr="005971E6">
        <w:rPr>
          <w:sz w:val="28"/>
          <w:szCs w:val="28"/>
        </w:rPr>
        <w:t xml:space="preserve">Частка неподаткових надходжень у структурі власних доходів загального фонду бюджету складає </w:t>
      </w:r>
      <w:r w:rsidR="009C7790">
        <w:rPr>
          <w:b/>
          <w:sz w:val="28"/>
          <w:szCs w:val="28"/>
          <w:lang w:val="ru-RU"/>
        </w:rPr>
        <w:t>0,9</w:t>
      </w:r>
      <w:r w:rsidRPr="005971E6">
        <w:rPr>
          <w:b/>
          <w:sz w:val="28"/>
          <w:szCs w:val="28"/>
        </w:rPr>
        <w:t>%</w:t>
      </w:r>
      <w:r w:rsidRPr="005971E6">
        <w:rPr>
          <w:sz w:val="28"/>
          <w:szCs w:val="28"/>
        </w:rPr>
        <w:t xml:space="preserve">. Фактичні їх надходження склали </w:t>
      </w:r>
      <w:r w:rsidR="00857F9B">
        <w:rPr>
          <w:b/>
          <w:sz w:val="28"/>
          <w:szCs w:val="28"/>
          <w:lang w:val="ru-RU"/>
        </w:rPr>
        <w:t>7592,0</w:t>
      </w:r>
      <w:r w:rsidR="00AF6A1B">
        <w:rPr>
          <w:b/>
          <w:sz w:val="28"/>
          <w:szCs w:val="28"/>
        </w:rPr>
        <w:t xml:space="preserve"> </w:t>
      </w:r>
      <w:r w:rsidRPr="00F9002D">
        <w:rPr>
          <w:b/>
          <w:sz w:val="28"/>
          <w:szCs w:val="28"/>
        </w:rPr>
        <w:t>тис.грн</w:t>
      </w:r>
      <w:r w:rsidRPr="005971E6">
        <w:rPr>
          <w:sz w:val="28"/>
          <w:szCs w:val="28"/>
        </w:rPr>
        <w:t xml:space="preserve">, що на </w:t>
      </w:r>
      <w:r w:rsidR="00857F9B">
        <w:rPr>
          <w:b/>
          <w:sz w:val="28"/>
          <w:szCs w:val="28"/>
          <w:lang w:val="ru-RU"/>
        </w:rPr>
        <w:t>388,5</w:t>
      </w:r>
      <w:r w:rsidRPr="005971E6">
        <w:rPr>
          <w:b/>
          <w:sz w:val="28"/>
          <w:szCs w:val="28"/>
        </w:rPr>
        <w:t xml:space="preserve"> тис.грн</w:t>
      </w:r>
      <w:r w:rsidR="00520346">
        <w:rPr>
          <w:b/>
          <w:sz w:val="28"/>
          <w:szCs w:val="28"/>
        </w:rPr>
        <w:t xml:space="preserve">, </w:t>
      </w:r>
      <w:r w:rsidR="00520346" w:rsidRPr="00520346">
        <w:rPr>
          <w:sz w:val="28"/>
          <w:szCs w:val="28"/>
        </w:rPr>
        <w:t>або</w:t>
      </w:r>
      <w:r w:rsidR="00520346">
        <w:rPr>
          <w:b/>
          <w:sz w:val="28"/>
          <w:szCs w:val="28"/>
        </w:rPr>
        <w:t xml:space="preserve"> на 5,4%,</w:t>
      </w:r>
      <w:r w:rsidR="006D3F03" w:rsidRPr="005971E6">
        <w:rPr>
          <w:sz w:val="28"/>
          <w:szCs w:val="28"/>
        </w:rPr>
        <w:t xml:space="preserve"> </w:t>
      </w:r>
      <w:r w:rsidRPr="005971E6">
        <w:rPr>
          <w:sz w:val="28"/>
          <w:szCs w:val="28"/>
        </w:rPr>
        <w:t xml:space="preserve">більше планового показника та на </w:t>
      </w:r>
      <w:r w:rsidR="00857F9B">
        <w:rPr>
          <w:b/>
          <w:sz w:val="28"/>
          <w:szCs w:val="28"/>
          <w:lang w:val="ru-RU"/>
        </w:rPr>
        <w:t>2255,6</w:t>
      </w:r>
      <w:r w:rsidRPr="005971E6">
        <w:rPr>
          <w:b/>
          <w:sz w:val="28"/>
          <w:szCs w:val="28"/>
        </w:rPr>
        <w:t> </w:t>
      </w:r>
      <w:r w:rsidRPr="004962FE">
        <w:rPr>
          <w:b/>
          <w:sz w:val="28"/>
          <w:szCs w:val="28"/>
        </w:rPr>
        <w:t>тис.грн</w:t>
      </w:r>
      <w:r w:rsidR="00520346">
        <w:rPr>
          <w:b/>
          <w:sz w:val="28"/>
          <w:szCs w:val="28"/>
        </w:rPr>
        <w:t xml:space="preserve">, </w:t>
      </w:r>
      <w:r w:rsidR="00520346" w:rsidRPr="00520346">
        <w:rPr>
          <w:sz w:val="28"/>
          <w:szCs w:val="28"/>
        </w:rPr>
        <w:t>або</w:t>
      </w:r>
      <w:r w:rsidR="00520346">
        <w:rPr>
          <w:b/>
          <w:sz w:val="28"/>
          <w:szCs w:val="28"/>
        </w:rPr>
        <w:t xml:space="preserve"> на 42,3 %,</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w:t>
      </w:r>
      <w:r w:rsidR="00520346">
        <w:rPr>
          <w:sz w:val="28"/>
          <w:szCs w:val="28"/>
        </w:rPr>
        <w:t>у 2022 році</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5D48AE">
      <w:pPr>
        <w:tabs>
          <w:tab w:val="left" w:pos="567"/>
          <w:tab w:val="left" w:pos="709"/>
          <w:tab w:val="left" w:pos="851"/>
        </w:tabs>
        <w:ind w:firstLine="851"/>
        <w:jc w:val="both"/>
        <w:rPr>
          <w:rFonts w:ascii="Times New Roman CYR" w:hAnsi="Times New Roman CYR"/>
          <w:bCs/>
          <w:sz w:val="28"/>
          <w:szCs w:val="20"/>
          <w:lang w:eastAsia="ru-RU"/>
        </w:rPr>
      </w:pPr>
      <w:r w:rsidRPr="00633B27">
        <w:rPr>
          <w:sz w:val="28"/>
          <w:szCs w:val="28"/>
        </w:rPr>
        <w:t xml:space="preserve">Офіційні трансферти до загального фонду бюджету склали  </w:t>
      </w:r>
      <w:r w:rsidR="002B5AE3">
        <w:rPr>
          <w:b/>
          <w:sz w:val="28"/>
          <w:szCs w:val="28"/>
          <w:lang w:val="ru-RU"/>
        </w:rPr>
        <w:t>159133,5</w:t>
      </w:r>
      <w:r w:rsidRPr="00633B27">
        <w:rPr>
          <w:b/>
          <w:sz w:val="28"/>
          <w:szCs w:val="28"/>
        </w:rPr>
        <w:t> тис.грн</w:t>
      </w:r>
      <w:r w:rsidR="004223AB" w:rsidRPr="00633B27">
        <w:rPr>
          <w:b/>
          <w:sz w:val="28"/>
          <w:szCs w:val="28"/>
        </w:rPr>
        <w:t>.</w:t>
      </w:r>
    </w:p>
    <w:p w:rsidR="00B425CF" w:rsidRPr="00B425CF" w:rsidRDefault="00497D4A" w:rsidP="00B425CF">
      <w:pPr>
        <w:tabs>
          <w:tab w:val="left" w:pos="567"/>
          <w:tab w:val="left" w:pos="851"/>
          <w:tab w:val="left" w:pos="993"/>
        </w:tabs>
        <w:ind w:firstLine="851"/>
        <w:jc w:val="both"/>
        <w:rPr>
          <w:sz w:val="28"/>
          <w:szCs w:val="28"/>
        </w:rPr>
      </w:pPr>
      <w:r w:rsidRPr="00875AC0">
        <w:rPr>
          <w:color w:val="FF0000"/>
          <w:sz w:val="28"/>
          <w:szCs w:val="28"/>
        </w:rPr>
        <w:lastRenderedPageBreak/>
        <w:t xml:space="preserve"> </w:t>
      </w:r>
      <w:r w:rsidR="00B425CF" w:rsidRPr="009960E5">
        <w:rPr>
          <w:i/>
          <w:sz w:val="28"/>
          <w:szCs w:val="28"/>
        </w:rPr>
        <w:t>Доходи спеціального фонд</w:t>
      </w:r>
      <w:r w:rsidR="00B425CF" w:rsidRPr="00B425CF">
        <w:rPr>
          <w:sz w:val="28"/>
          <w:szCs w:val="28"/>
        </w:rPr>
        <w:t xml:space="preserve">у бюджету (без урахування офіційних трансфертів) склали </w:t>
      </w:r>
      <w:r w:rsidR="00B425CF" w:rsidRPr="009960E5">
        <w:rPr>
          <w:b/>
          <w:sz w:val="28"/>
          <w:szCs w:val="28"/>
        </w:rPr>
        <w:t>78196,7 тис.грн</w:t>
      </w:r>
      <w:r w:rsidR="00B425CF" w:rsidRPr="00B425CF">
        <w:rPr>
          <w:sz w:val="28"/>
          <w:szCs w:val="28"/>
        </w:rPr>
        <w:t xml:space="preserve">, з яких: </w:t>
      </w:r>
      <w:r w:rsidR="009960E5" w:rsidRPr="009960E5">
        <w:rPr>
          <w:b/>
          <w:sz w:val="28"/>
          <w:szCs w:val="28"/>
        </w:rPr>
        <w:t>76332,2</w:t>
      </w:r>
      <w:r w:rsidR="00B425CF" w:rsidRPr="009960E5">
        <w:rPr>
          <w:b/>
          <w:sz w:val="28"/>
          <w:szCs w:val="28"/>
        </w:rPr>
        <w:t xml:space="preserve"> тис.грн</w:t>
      </w:r>
      <w:r w:rsidR="00B425CF" w:rsidRPr="00B425CF">
        <w:rPr>
          <w:sz w:val="28"/>
          <w:szCs w:val="28"/>
        </w:rPr>
        <w:t xml:space="preserve">, або </w:t>
      </w:r>
      <w:r w:rsidR="00B425CF" w:rsidRPr="009960E5">
        <w:rPr>
          <w:b/>
          <w:sz w:val="28"/>
          <w:szCs w:val="28"/>
        </w:rPr>
        <w:t>97,</w:t>
      </w:r>
      <w:r w:rsidR="009960E5" w:rsidRPr="009960E5">
        <w:rPr>
          <w:b/>
          <w:sz w:val="28"/>
          <w:szCs w:val="28"/>
        </w:rPr>
        <w:t>6</w:t>
      </w:r>
      <w:r w:rsidR="00B425CF" w:rsidRPr="009960E5">
        <w:rPr>
          <w:b/>
          <w:sz w:val="28"/>
          <w:szCs w:val="28"/>
        </w:rPr>
        <w:t>%</w:t>
      </w:r>
      <w:r w:rsidR="00B425CF" w:rsidRPr="00B425CF">
        <w:rPr>
          <w:sz w:val="28"/>
          <w:szCs w:val="28"/>
        </w:rPr>
        <w:t xml:space="preserve">, складають власні надходження бюджетних установ; </w:t>
      </w:r>
      <w:r w:rsidR="00B425CF" w:rsidRPr="009960E5">
        <w:rPr>
          <w:b/>
          <w:sz w:val="28"/>
          <w:szCs w:val="28"/>
        </w:rPr>
        <w:t>882,3 тис.грн</w:t>
      </w:r>
      <w:r w:rsidR="00B425CF" w:rsidRPr="00B425CF">
        <w:rPr>
          <w:sz w:val="28"/>
          <w:szCs w:val="28"/>
        </w:rPr>
        <w:t xml:space="preserve"> (</w:t>
      </w:r>
      <w:r w:rsidR="00B425CF" w:rsidRPr="009960E5">
        <w:rPr>
          <w:b/>
          <w:sz w:val="28"/>
          <w:szCs w:val="28"/>
        </w:rPr>
        <w:t>1,</w:t>
      </w:r>
      <w:r w:rsidR="009960E5" w:rsidRPr="009960E5">
        <w:rPr>
          <w:b/>
          <w:sz w:val="28"/>
          <w:szCs w:val="28"/>
        </w:rPr>
        <w:t>1</w:t>
      </w:r>
      <w:r w:rsidR="00B425CF" w:rsidRPr="009960E5">
        <w:rPr>
          <w:b/>
          <w:sz w:val="28"/>
          <w:szCs w:val="28"/>
        </w:rPr>
        <w:t>%</w:t>
      </w:r>
      <w:r w:rsidR="00B425CF" w:rsidRPr="00B425CF">
        <w:rPr>
          <w:sz w:val="28"/>
          <w:szCs w:val="28"/>
        </w:rPr>
        <w:t xml:space="preserve">) – кошти від продажу земельних ділянок; </w:t>
      </w:r>
      <w:r w:rsidR="00B425CF" w:rsidRPr="009960E5">
        <w:rPr>
          <w:b/>
          <w:sz w:val="28"/>
          <w:szCs w:val="28"/>
        </w:rPr>
        <w:t>86</w:t>
      </w:r>
      <w:r w:rsidR="009960E5" w:rsidRPr="009960E5">
        <w:rPr>
          <w:b/>
          <w:sz w:val="28"/>
          <w:szCs w:val="28"/>
        </w:rPr>
        <w:t>8</w:t>
      </w:r>
      <w:r w:rsidR="00B425CF" w:rsidRPr="009960E5">
        <w:rPr>
          <w:b/>
          <w:sz w:val="28"/>
          <w:szCs w:val="28"/>
        </w:rPr>
        <w:t>,0 тис.грн</w:t>
      </w:r>
      <w:r w:rsidR="00B425CF" w:rsidRPr="00B425CF">
        <w:rPr>
          <w:sz w:val="28"/>
          <w:szCs w:val="28"/>
        </w:rPr>
        <w:t xml:space="preserve"> (</w:t>
      </w:r>
      <w:r w:rsidR="00B425CF" w:rsidRPr="009960E5">
        <w:rPr>
          <w:b/>
          <w:sz w:val="28"/>
          <w:szCs w:val="28"/>
        </w:rPr>
        <w:t>1,</w:t>
      </w:r>
      <w:r w:rsidR="009960E5" w:rsidRPr="009960E5">
        <w:rPr>
          <w:b/>
          <w:sz w:val="28"/>
          <w:szCs w:val="28"/>
        </w:rPr>
        <w:t>1</w:t>
      </w:r>
      <w:r w:rsidR="00B425CF" w:rsidRPr="009960E5">
        <w:rPr>
          <w:b/>
          <w:sz w:val="28"/>
          <w:szCs w:val="28"/>
        </w:rPr>
        <w:t>%</w:t>
      </w:r>
      <w:r w:rsidR="00B425CF" w:rsidRPr="00B425CF">
        <w:rPr>
          <w:sz w:val="28"/>
          <w:szCs w:val="28"/>
        </w:rPr>
        <w:t xml:space="preserve">) – екологічний податок; </w:t>
      </w:r>
      <w:r w:rsidR="009960E5" w:rsidRPr="009960E5">
        <w:rPr>
          <w:b/>
          <w:sz w:val="28"/>
          <w:szCs w:val="28"/>
        </w:rPr>
        <w:t>9</w:t>
      </w:r>
      <w:r w:rsidR="00610E6F">
        <w:rPr>
          <w:b/>
          <w:sz w:val="28"/>
          <w:szCs w:val="28"/>
        </w:rPr>
        <w:t>3</w:t>
      </w:r>
      <w:r w:rsidR="009960E5" w:rsidRPr="009960E5">
        <w:rPr>
          <w:b/>
          <w:sz w:val="28"/>
          <w:szCs w:val="28"/>
        </w:rPr>
        <w:t>,</w:t>
      </w:r>
      <w:r w:rsidR="00610E6F">
        <w:rPr>
          <w:b/>
          <w:sz w:val="28"/>
          <w:szCs w:val="28"/>
        </w:rPr>
        <w:t>2</w:t>
      </w:r>
      <w:r w:rsidR="00B425CF" w:rsidRPr="009960E5">
        <w:rPr>
          <w:b/>
          <w:sz w:val="28"/>
          <w:szCs w:val="28"/>
        </w:rPr>
        <w:t xml:space="preserve"> тис.грн</w:t>
      </w:r>
      <w:r w:rsidR="00B425CF" w:rsidRPr="00B425CF">
        <w:rPr>
          <w:sz w:val="28"/>
          <w:szCs w:val="28"/>
        </w:rPr>
        <w:t xml:space="preserve"> -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sidR="00B425CF" w:rsidRPr="009960E5">
        <w:rPr>
          <w:b/>
          <w:sz w:val="28"/>
          <w:szCs w:val="28"/>
        </w:rPr>
        <w:t>18,9 тис.грн</w:t>
      </w:r>
      <w:r w:rsidR="00B425CF" w:rsidRPr="00B425CF">
        <w:rPr>
          <w:sz w:val="28"/>
          <w:szCs w:val="28"/>
        </w:rPr>
        <w:t xml:space="preserve"> – інші надходження до фондів охорони навколишнього природного середовища; </w:t>
      </w:r>
      <w:r w:rsidR="00B425CF" w:rsidRPr="009960E5">
        <w:rPr>
          <w:b/>
          <w:sz w:val="28"/>
          <w:szCs w:val="28"/>
        </w:rPr>
        <w:t>1,1 тис.грн</w:t>
      </w:r>
      <w:r w:rsidR="00B425CF" w:rsidRPr="00B425CF">
        <w:rPr>
          <w:sz w:val="28"/>
          <w:szCs w:val="28"/>
        </w:rPr>
        <w:t xml:space="preserve"> – 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B425CF" w:rsidRPr="00B425CF" w:rsidRDefault="00B425CF" w:rsidP="00B425CF">
      <w:pPr>
        <w:tabs>
          <w:tab w:val="left" w:pos="567"/>
          <w:tab w:val="left" w:pos="851"/>
          <w:tab w:val="left" w:pos="993"/>
        </w:tabs>
        <w:ind w:firstLine="851"/>
        <w:jc w:val="both"/>
        <w:rPr>
          <w:sz w:val="28"/>
          <w:szCs w:val="28"/>
        </w:rPr>
      </w:pPr>
      <w:r w:rsidRPr="00B425CF">
        <w:rPr>
          <w:sz w:val="28"/>
          <w:szCs w:val="28"/>
        </w:rPr>
        <w:t xml:space="preserve">Офіційні трансферти до спеціального фонду бюджету склали </w:t>
      </w:r>
      <w:r w:rsidRPr="009960E5">
        <w:rPr>
          <w:b/>
          <w:sz w:val="28"/>
          <w:szCs w:val="28"/>
        </w:rPr>
        <w:t>369,5 тис.грн.</w:t>
      </w:r>
    </w:p>
    <w:p w:rsidR="004E3AA1" w:rsidRDefault="00B425CF" w:rsidP="00B425CF">
      <w:pPr>
        <w:tabs>
          <w:tab w:val="left" w:pos="567"/>
          <w:tab w:val="left" w:pos="851"/>
          <w:tab w:val="left" w:pos="993"/>
        </w:tabs>
        <w:ind w:firstLine="851"/>
        <w:jc w:val="both"/>
        <w:rPr>
          <w:sz w:val="28"/>
          <w:szCs w:val="28"/>
        </w:rPr>
      </w:pPr>
      <w:r w:rsidRPr="00B425CF">
        <w:rPr>
          <w:sz w:val="28"/>
          <w:szCs w:val="28"/>
        </w:rPr>
        <w:t>В цілому доходи бюджету міської територіальної громади станом на 01.</w:t>
      </w:r>
      <w:r w:rsidR="009960E5">
        <w:rPr>
          <w:sz w:val="28"/>
          <w:szCs w:val="28"/>
        </w:rPr>
        <w:t>01</w:t>
      </w:r>
      <w:r w:rsidRPr="00B425CF">
        <w:rPr>
          <w:sz w:val="28"/>
          <w:szCs w:val="28"/>
        </w:rPr>
        <w:t>.202</w:t>
      </w:r>
      <w:r w:rsidR="009960E5">
        <w:rPr>
          <w:sz w:val="28"/>
          <w:szCs w:val="28"/>
        </w:rPr>
        <w:t>4</w:t>
      </w:r>
      <w:r w:rsidRPr="00B425CF">
        <w:rPr>
          <w:sz w:val="28"/>
          <w:szCs w:val="28"/>
        </w:rPr>
        <w:t xml:space="preserve"> склали </w:t>
      </w:r>
      <w:r w:rsidR="009960E5" w:rsidRPr="009960E5">
        <w:rPr>
          <w:b/>
          <w:sz w:val="28"/>
          <w:szCs w:val="28"/>
        </w:rPr>
        <w:t>1039272,1</w:t>
      </w:r>
      <w:r w:rsidRPr="009960E5">
        <w:rPr>
          <w:b/>
          <w:sz w:val="28"/>
          <w:szCs w:val="28"/>
        </w:rPr>
        <w:t xml:space="preserve"> тис.грн</w:t>
      </w:r>
      <w:r w:rsidRPr="00B425CF">
        <w:rPr>
          <w:sz w:val="28"/>
          <w:szCs w:val="28"/>
        </w:rPr>
        <w:t xml:space="preserve">, що на </w:t>
      </w:r>
      <w:r w:rsidR="004E3AA1" w:rsidRPr="004E3AA1">
        <w:rPr>
          <w:b/>
          <w:sz w:val="28"/>
          <w:szCs w:val="28"/>
        </w:rPr>
        <w:t>77077,6</w:t>
      </w:r>
      <w:r w:rsidRPr="004E3AA1">
        <w:rPr>
          <w:b/>
          <w:sz w:val="28"/>
          <w:szCs w:val="28"/>
        </w:rPr>
        <w:t xml:space="preserve"> тис.грн</w:t>
      </w:r>
      <w:r w:rsidRPr="00B425CF">
        <w:rPr>
          <w:sz w:val="28"/>
          <w:szCs w:val="28"/>
        </w:rPr>
        <w:t xml:space="preserve">, або на </w:t>
      </w:r>
      <w:r w:rsidR="004E3AA1" w:rsidRPr="004E3AA1">
        <w:rPr>
          <w:b/>
          <w:sz w:val="28"/>
          <w:szCs w:val="28"/>
        </w:rPr>
        <w:t>8,0</w:t>
      </w:r>
      <w:r w:rsidRPr="004E3AA1">
        <w:rPr>
          <w:b/>
          <w:sz w:val="28"/>
          <w:szCs w:val="28"/>
        </w:rPr>
        <w:t>%</w:t>
      </w:r>
      <w:r w:rsidRPr="00B425CF">
        <w:rPr>
          <w:sz w:val="28"/>
          <w:szCs w:val="28"/>
        </w:rPr>
        <w:t xml:space="preserve">, більше планового показника та на </w:t>
      </w:r>
      <w:r w:rsidR="004E3AA1" w:rsidRPr="004E3AA1">
        <w:rPr>
          <w:b/>
          <w:sz w:val="28"/>
          <w:szCs w:val="28"/>
        </w:rPr>
        <w:t>137942,7</w:t>
      </w:r>
      <w:r w:rsidRPr="004E3AA1">
        <w:rPr>
          <w:b/>
          <w:sz w:val="28"/>
          <w:szCs w:val="28"/>
        </w:rPr>
        <w:t xml:space="preserve"> тис.грн</w:t>
      </w:r>
      <w:r w:rsidRPr="00B425CF">
        <w:rPr>
          <w:sz w:val="28"/>
          <w:szCs w:val="28"/>
        </w:rPr>
        <w:t xml:space="preserve">, або на </w:t>
      </w:r>
      <w:r w:rsidR="004E3AA1" w:rsidRPr="003F3BF4">
        <w:rPr>
          <w:b/>
          <w:sz w:val="28"/>
          <w:szCs w:val="28"/>
        </w:rPr>
        <w:t>15,3</w:t>
      </w:r>
      <w:r w:rsidRPr="003F3BF4">
        <w:rPr>
          <w:b/>
          <w:sz w:val="28"/>
          <w:szCs w:val="28"/>
        </w:rPr>
        <w:t>%</w:t>
      </w:r>
      <w:r w:rsidRPr="00B425CF">
        <w:rPr>
          <w:sz w:val="28"/>
          <w:szCs w:val="28"/>
        </w:rPr>
        <w:t xml:space="preserve">, більше </w:t>
      </w:r>
      <w:r w:rsidR="000D7AD0">
        <w:rPr>
          <w:sz w:val="28"/>
          <w:szCs w:val="28"/>
        </w:rPr>
        <w:t xml:space="preserve">ніж </w:t>
      </w:r>
      <w:r w:rsidRPr="00B425CF">
        <w:rPr>
          <w:sz w:val="28"/>
          <w:szCs w:val="28"/>
        </w:rPr>
        <w:t xml:space="preserve">за </w:t>
      </w:r>
      <w:r w:rsidR="000D7AD0">
        <w:rPr>
          <w:sz w:val="28"/>
          <w:szCs w:val="28"/>
        </w:rPr>
        <w:t xml:space="preserve">2022 </w:t>
      </w:r>
      <w:r w:rsidRPr="00B425CF">
        <w:rPr>
          <w:sz w:val="28"/>
          <w:szCs w:val="28"/>
        </w:rPr>
        <w:t>р</w:t>
      </w:r>
      <w:r w:rsidR="004E3AA1">
        <w:rPr>
          <w:sz w:val="28"/>
          <w:szCs w:val="28"/>
        </w:rPr>
        <w:t>і</w:t>
      </w:r>
      <w:r w:rsidRPr="00B425CF">
        <w:rPr>
          <w:sz w:val="28"/>
          <w:szCs w:val="28"/>
        </w:rPr>
        <w:t xml:space="preserve">к. </w:t>
      </w:r>
    </w:p>
    <w:p w:rsidR="0021157D" w:rsidRPr="00103730" w:rsidRDefault="0021157D" w:rsidP="00B425CF">
      <w:pPr>
        <w:tabs>
          <w:tab w:val="left" w:pos="567"/>
          <w:tab w:val="left" w:pos="851"/>
          <w:tab w:val="left" w:pos="993"/>
        </w:tabs>
        <w:ind w:firstLine="851"/>
        <w:jc w:val="both"/>
        <w:rPr>
          <w:sz w:val="28"/>
          <w:szCs w:val="28"/>
        </w:rPr>
      </w:pPr>
      <w:r w:rsidRPr="00103730">
        <w:rPr>
          <w:sz w:val="28"/>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E413E6" w:rsidRDefault="0021157D" w:rsidP="0021157D">
      <w:pPr>
        <w:ind w:firstLine="851"/>
        <w:jc w:val="both"/>
        <w:rPr>
          <w:b/>
          <w:color w:val="FF0000"/>
          <w:sz w:val="16"/>
          <w:szCs w:val="16"/>
        </w:rPr>
      </w:pPr>
    </w:p>
    <w:p w:rsidR="002807A6" w:rsidRPr="00C77E03" w:rsidRDefault="002807A6" w:rsidP="002807A6">
      <w:pPr>
        <w:pStyle w:val="a3"/>
        <w:tabs>
          <w:tab w:val="left" w:pos="540"/>
        </w:tabs>
        <w:ind w:firstLine="851"/>
        <w:rPr>
          <w:color w:val="000000" w:themeColor="text1"/>
          <w:szCs w:val="28"/>
        </w:rPr>
      </w:pPr>
      <w:r w:rsidRPr="00C77E03">
        <w:rPr>
          <w:color w:val="000000" w:themeColor="text1"/>
          <w:szCs w:val="28"/>
        </w:rPr>
        <w:t>Так, станом на 01.</w:t>
      </w:r>
      <w:r w:rsidR="00D3704D" w:rsidRPr="00C77E03">
        <w:rPr>
          <w:color w:val="000000" w:themeColor="text1"/>
          <w:szCs w:val="28"/>
        </w:rPr>
        <w:t>0</w:t>
      </w:r>
      <w:r w:rsidR="00CF7306" w:rsidRPr="00C77E03">
        <w:rPr>
          <w:color w:val="000000" w:themeColor="text1"/>
          <w:szCs w:val="28"/>
        </w:rPr>
        <w:t>1</w:t>
      </w:r>
      <w:r w:rsidRPr="00C77E03">
        <w:rPr>
          <w:color w:val="000000" w:themeColor="text1"/>
          <w:szCs w:val="28"/>
        </w:rPr>
        <w:t>.202</w:t>
      </w:r>
      <w:r w:rsidR="00CF7306" w:rsidRPr="00C77E03">
        <w:rPr>
          <w:color w:val="000000" w:themeColor="text1"/>
          <w:szCs w:val="28"/>
        </w:rPr>
        <w:t>4</w:t>
      </w:r>
      <w:r w:rsidRPr="00C77E03">
        <w:rPr>
          <w:color w:val="000000" w:themeColor="text1"/>
          <w:szCs w:val="28"/>
        </w:rPr>
        <w:t xml:space="preserve"> року виконання бюджету Вараської міської територіальної громади </w:t>
      </w:r>
      <w:r w:rsidRPr="00C77E03">
        <w:rPr>
          <w:b/>
          <w:color w:val="000000" w:themeColor="text1"/>
          <w:szCs w:val="28"/>
          <w:u w:val="single"/>
        </w:rPr>
        <w:t>по видатках та кредитуванню</w:t>
      </w:r>
      <w:r w:rsidRPr="00C77E03">
        <w:rPr>
          <w:color w:val="000000" w:themeColor="text1"/>
          <w:szCs w:val="28"/>
        </w:rPr>
        <w:t xml:space="preserve"> становить </w:t>
      </w:r>
      <w:r w:rsidR="00CF7306" w:rsidRPr="00C77E03">
        <w:rPr>
          <w:b/>
          <w:color w:val="000000" w:themeColor="text1"/>
          <w:szCs w:val="28"/>
          <w:lang w:val="ru-RU"/>
        </w:rPr>
        <w:t>97,2</w:t>
      </w:r>
      <w:r w:rsidRPr="00C77E03">
        <w:rPr>
          <w:color w:val="000000" w:themeColor="text1"/>
          <w:szCs w:val="28"/>
        </w:rPr>
        <w:t xml:space="preserve">% до уточненого плану, у тому числі: по </w:t>
      </w:r>
      <w:r w:rsidRPr="00C77E03">
        <w:rPr>
          <w:b/>
          <w:i/>
          <w:color w:val="000000" w:themeColor="text1"/>
          <w:szCs w:val="28"/>
        </w:rPr>
        <w:t>загальному фонду</w:t>
      </w:r>
      <w:r w:rsidRPr="00C77E03">
        <w:rPr>
          <w:color w:val="000000" w:themeColor="text1"/>
          <w:szCs w:val="28"/>
        </w:rPr>
        <w:t xml:space="preserve"> – </w:t>
      </w:r>
      <w:r w:rsidR="00CF7306" w:rsidRPr="00C77E03">
        <w:rPr>
          <w:b/>
          <w:color w:val="000000" w:themeColor="text1"/>
          <w:szCs w:val="28"/>
          <w:lang w:val="ru-RU"/>
        </w:rPr>
        <w:t>97,9</w:t>
      </w:r>
      <w:r w:rsidRPr="00C77E03">
        <w:rPr>
          <w:color w:val="000000" w:themeColor="text1"/>
          <w:szCs w:val="28"/>
        </w:rPr>
        <w:t xml:space="preserve">%, по </w:t>
      </w:r>
      <w:r w:rsidRPr="00C77E03">
        <w:rPr>
          <w:b/>
          <w:i/>
          <w:color w:val="000000" w:themeColor="text1"/>
          <w:szCs w:val="28"/>
        </w:rPr>
        <w:t>спеціальному фонду</w:t>
      </w:r>
      <w:r w:rsidRPr="00C77E03">
        <w:rPr>
          <w:b/>
          <w:color w:val="000000" w:themeColor="text1"/>
          <w:szCs w:val="28"/>
        </w:rPr>
        <w:t xml:space="preserve"> </w:t>
      </w:r>
      <w:r w:rsidRPr="00C77E03">
        <w:rPr>
          <w:color w:val="000000" w:themeColor="text1"/>
          <w:szCs w:val="28"/>
        </w:rPr>
        <w:t xml:space="preserve">– </w:t>
      </w:r>
      <w:r w:rsidR="00CF7306" w:rsidRPr="00C77E03">
        <w:rPr>
          <w:b/>
          <w:color w:val="000000" w:themeColor="text1"/>
          <w:szCs w:val="28"/>
        </w:rPr>
        <w:t>93,8</w:t>
      </w:r>
      <w:r w:rsidRPr="00C77E03">
        <w:rPr>
          <w:color w:val="000000" w:themeColor="text1"/>
          <w:szCs w:val="28"/>
        </w:rPr>
        <w:t>%.  Тобто</w:t>
      </w:r>
      <w:r w:rsidR="00D3704D" w:rsidRPr="00C77E03">
        <w:rPr>
          <w:color w:val="000000" w:themeColor="text1"/>
          <w:szCs w:val="28"/>
        </w:rPr>
        <w:t xml:space="preserve">, при уточненому плані на </w:t>
      </w:r>
      <w:r w:rsidR="005C618C" w:rsidRPr="00C77E03">
        <w:rPr>
          <w:color w:val="000000" w:themeColor="text1"/>
          <w:szCs w:val="28"/>
        </w:rPr>
        <w:t>січень-</w:t>
      </w:r>
      <w:r w:rsidR="00CF7306" w:rsidRPr="00C77E03">
        <w:rPr>
          <w:color w:val="000000" w:themeColor="text1"/>
          <w:szCs w:val="28"/>
        </w:rPr>
        <w:t>грудень</w:t>
      </w:r>
      <w:r w:rsidRPr="00C77E03">
        <w:rPr>
          <w:color w:val="000000" w:themeColor="text1"/>
          <w:szCs w:val="28"/>
        </w:rPr>
        <w:t xml:space="preserve"> 20</w:t>
      </w:r>
      <w:r w:rsidR="00B77EC5" w:rsidRPr="00C77E03">
        <w:rPr>
          <w:color w:val="000000" w:themeColor="text1"/>
          <w:szCs w:val="28"/>
        </w:rPr>
        <w:t>23</w:t>
      </w:r>
      <w:r w:rsidRPr="00C77E03">
        <w:rPr>
          <w:color w:val="000000" w:themeColor="text1"/>
          <w:szCs w:val="28"/>
        </w:rPr>
        <w:t xml:space="preserve"> року в сумі </w:t>
      </w:r>
      <w:r w:rsidR="00CF7306" w:rsidRPr="00C77E03">
        <w:rPr>
          <w:b/>
          <w:color w:val="000000" w:themeColor="text1"/>
          <w:szCs w:val="28"/>
        </w:rPr>
        <w:t>1 175 672,2</w:t>
      </w:r>
      <w:r w:rsidRPr="00C77E03">
        <w:rPr>
          <w:b/>
          <w:color w:val="000000" w:themeColor="text1"/>
          <w:szCs w:val="28"/>
        </w:rPr>
        <w:t> </w:t>
      </w:r>
      <w:r w:rsidRPr="00C77E03">
        <w:rPr>
          <w:color w:val="000000" w:themeColor="text1"/>
          <w:szCs w:val="28"/>
        </w:rPr>
        <w:t xml:space="preserve">тис.грн, на утримання бюджетних установ та виконання програмних завдань використано </w:t>
      </w:r>
      <w:r w:rsidR="00CF7306" w:rsidRPr="00C77E03">
        <w:rPr>
          <w:b/>
          <w:color w:val="000000" w:themeColor="text1"/>
          <w:szCs w:val="28"/>
        </w:rPr>
        <w:t>1 143 178,3</w:t>
      </w:r>
      <w:r w:rsidRPr="00C77E03">
        <w:rPr>
          <w:color w:val="000000" w:themeColor="text1"/>
          <w:szCs w:val="28"/>
        </w:rPr>
        <w:t xml:space="preserve"> тис.грн, у тому числі по вид</w:t>
      </w:r>
      <w:r w:rsidR="00613316" w:rsidRPr="00C77E03">
        <w:rPr>
          <w:color w:val="000000" w:themeColor="text1"/>
          <w:szCs w:val="28"/>
        </w:rPr>
        <w:t xml:space="preserve">атках </w:t>
      </w:r>
      <w:r w:rsidR="00CF7306" w:rsidRPr="00C77E03">
        <w:rPr>
          <w:b/>
          <w:color w:val="000000" w:themeColor="text1"/>
          <w:szCs w:val="28"/>
        </w:rPr>
        <w:t>1 143 261,6</w:t>
      </w:r>
      <w:r w:rsidR="00DF2C7A" w:rsidRPr="00C77E03">
        <w:rPr>
          <w:b/>
          <w:color w:val="000000" w:themeColor="text1"/>
          <w:szCs w:val="28"/>
        </w:rPr>
        <w:t xml:space="preserve"> </w:t>
      </w:r>
      <w:r w:rsidR="00D019E6" w:rsidRPr="00C77E03">
        <w:rPr>
          <w:b/>
          <w:color w:val="000000" w:themeColor="text1"/>
          <w:szCs w:val="28"/>
        </w:rPr>
        <w:t xml:space="preserve"> </w:t>
      </w:r>
      <w:r w:rsidRPr="00C77E03">
        <w:rPr>
          <w:color w:val="000000" w:themeColor="text1"/>
          <w:szCs w:val="28"/>
        </w:rPr>
        <w:t>тис.грн, по кредитуванню повернуто ”-”</w:t>
      </w:r>
      <w:r w:rsidRPr="00C77E03">
        <w:rPr>
          <w:color w:val="000000" w:themeColor="text1"/>
          <w:szCs w:val="28"/>
          <w:lang w:val="ru-RU"/>
        </w:rPr>
        <w:t xml:space="preserve"> </w:t>
      </w:r>
      <w:r w:rsidR="00CF7306" w:rsidRPr="00C77E03">
        <w:rPr>
          <w:b/>
          <w:color w:val="000000" w:themeColor="text1"/>
          <w:szCs w:val="28"/>
          <w:lang w:val="ru-RU"/>
        </w:rPr>
        <w:t>83,3</w:t>
      </w:r>
      <w:r w:rsidRPr="00C77E03">
        <w:rPr>
          <w:b/>
          <w:color w:val="000000" w:themeColor="text1"/>
          <w:szCs w:val="28"/>
        </w:rPr>
        <w:t> </w:t>
      </w:r>
      <w:r w:rsidRPr="00C77E03">
        <w:rPr>
          <w:color w:val="000000" w:themeColor="text1"/>
          <w:szCs w:val="28"/>
        </w:rPr>
        <w:t xml:space="preserve">тис.грн. </w:t>
      </w:r>
    </w:p>
    <w:p w:rsidR="002807A6" w:rsidRPr="00C77E03" w:rsidRDefault="002807A6" w:rsidP="002807A6">
      <w:pPr>
        <w:pStyle w:val="a3"/>
        <w:tabs>
          <w:tab w:val="left" w:pos="540"/>
        </w:tabs>
        <w:ind w:firstLine="851"/>
        <w:rPr>
          <w:color w:val="000000" w:themeColor="text1"/>
          <w:sz w:val="16"/>
          <w:szCs w:val="16"/>
        </w:rPr>
      </w:pPr>
    </w:p>
    <w:p w:rsidR="002807A6" w:rsidRPr="00C77E03" w:rsidRDefault="002807A6" w:rsidP="002807A6">
      <w:pPr>
        <w:pStyle w:val="a3"/>
        <w:tabs>
          <w:tab w:val="left" w:pos="540"/>
        </w:tabs>
        <w:ind w:firstLine="851"/>
        <w:rPr>
          <w:color w:val="000000" w:themeColor="text1"/>
          <w:szCs w:val="28"/>
        </w:rPr>
      </w:pPr>
      <w:r w:rsidRPr="00C77E03">
        <w:rPr>
          <w:color w:val="000000" w:themeColor="text1"/>
          <w:szCs w:val="28"/>
        </w:rPr>
        <w:t xml:space="preserve">По </w:t>
      </w:r>
      <w:r w:rsidRPr="00C77E03">
        <w:rPr>
          <w:b/>
          <w:i/>
          <w:color w:val="000000" w:themeColor="text1"/>
          <w:szCs w:val="28"/>
        </w:rPr>
        <w:t>загальному</w:t>
      </w:r>
      <w:r w:rsidRPr="00C77E03">
        <w:rPr>
          <w:color w:val="000000" w:themeColor="text1"/>
          <w:szCs w:val="28"/>
        </w:rPr>
        <w:t xml:space="preserve"> фонду, при уточн</w:t>
      </w:r>
      <w:bookmarkStart w:id="0" w:name="_GoBack"/>
      <w:bookmarkEnd w:id="0"/>
      <w:r w:rsidRPr="00C77E03">
        <w:rPr>
          <w:color w:val="000000" w:themeColor="text1"/>
          <w:szCs w:val="28"/>
        </w:rPr>
        <w:t xml:space="preserve">еному плані на звітний період                    </w:t>
      </w:r>
      <w:r w:rsidR="00CF7306" w:rsidRPr="00C77E03">
        <w:rPr>
          <w:b/>
          <w:color w:val="000000" w:themeColor="text1"/>
          <w:szCs w:val="28"/>
        </w:rPr>
        <w:t>975 411,2</w:t>
      </w:r>
      <w:r w:rsidRPr="00C77E03">
        <w:rPr>
          <w:color w:val="000000" w:themeColor="text1"/>
          <w:szCs w:val="28"/>
        </w:rPr>
        <w:t xml:space="preserve"> тис.грн, використано </w:t>
      </w:r>
      <w:r w:rsidR="00CF7306" w:rsidRPr="00C77E03">
        <w:rPr>
          <w:b/>
          <w:color w:val="000000" w:themeColor="text1"/>
          <w:szCs w:val="28"/>
        </w:rPr>
        <w:t>955 397,0</w:t>
      </w:r>
      <w:r w:rsidRPr="00C77E03">
        <w:rPr>
          <w:b/>
          <w:color w:val="000000" w:themeColor="text1"/>
          <w:szCs w:val="28"/>
        </w:rPr>
        <w:t xml:space="preserve"> </w:t>
      </w:r>
      <w:r w:rsidRPr="00C77E03">
        <w:rPr>
          <w:color w:val="000000" w:themeColor="text1"/>
          <w:szCs w:val="28"/>
        </w:rPr>
        <w:t>тис.грн.</w:t>
      </w:r>
    </w:p>
    <w:p w:rsidR="002807A6" w:rsidRPr="00C77E03" w:rsidRDefault="002807A6" w:rsidP="002807A6">
      <w:pPr>
        <w:pStyle w:val="a3"/>
        <w:tabs>
          <w:tab w:val="left" w:pos="540"/>
        </w:tabs>
        <w:ind w:firstLine="851"/>
        <w:rPr>
          <w:color w:val="000000" w:themeColor="text1"/>
          <w:sz w:val="16"/>
          <w:szCs w:val="16"/>
        </w:rPr>
      </w:pPr>
    </w:p>
    <w:p w:rsidR="002807A6" w:rsidRPr="00C77E03" w:rsidRDefault="002807A6" w:rsidP="002807A6">
      <w:pPr>
        <w:pStyle w:val="a3"/>
        <w:tabs>
          <w:tab w:val="left" w:pos="540"/>
        </w:tabs>
        <w:ind w:firstLine="851"/>
        <w:rPr>
          <w:color w:val="000000" w:themeColor="text1"/>
          <w:szCs w:val="28"/>
        </w:rPr>
      </w:pPr>
      <w:r w:rsidRPr="00C77E03">
        <w:rPr>
          <w:color w:val="000000" w:themeColor="text1"/>
          <w:szCs w:val="28"/>
        </w:rPr>
        <w:t xml:space="preserve">По </w:t>
      </w:r>
      <w:r w:rsidRPr="00C77E03">
        <w:rPr>
          <w:b/>
          <w:i/>
          <w:color w:val="000000" w:themeColor="text1"/>
          <w:szCs w:val="28"/>
        </w:rPr>
        <w:t>спеціальному</w:t>
      </w:r>
      <w:r w:rsidRPr="00C77E03">
        <w:rPr>
          <w:color w:val="000000" w:themeColor="text1"/>
          <w:szCs w:val="28"/>
        </w:rPr>
        <w:t xml:space="preserve"> фонду, при уточненому плані в сумі </w:t>
      </w:r>
      <w:r w:rsidR="00CF7306" w:rsidRPr="00C77E03">
        <w:rPr>
          <w:b/>
          <w:color w:val="000000" w:themeColor="text1"/>
          <w:szCs w:val="28"/>
        </w:rPr>
        <w:t>200 261,0</w:t>
      </w:r>
      <w:r w:rsidRPr="00C77E03">
        <w:rPr>
          <w:b/>
          <w:color w:val="000000" w:themeColor="text1"/>
          <w:szCs w:val="28"/>
        </w:rPr>
        <w:t xml:space="preserve"> </w:t>
      </w:r>
      <w:r w:rsidRPr="00C77E03">
        <w:rPr>
          <w:color w:val="000000" w:themeColor="text1"/>
          <w:szCs w:val="28"/>
        </w:rPr>
        <w:t xml:space="preserve">тис.грн, використано </w:t>
      </w:r>
      <w:r w:rsidR="00CF7306" w:rsidRPr="00C77E03">
        <w:rPr>
          <w:b/>
          <w:color w:val="000000" w:themeColor="text1"/>
          <w:szCs w:val="28"/>
        </w:rPr>
        <w:t>187 781,3</w:t>
      </w:r>
      <w:r w:rsidRPr="00C77E03">
        <w:rPr>
          <w:color w:val="000000" w:themeColor="text1"/>
          <w:szCs w:val="28"/>
        </w:rPr>
        <w:t xml:space="preserve"> тис.грн, у тому числі по видатках – </w:t>
      </w:r>
      <w:r w:rsidR="00CF7306" w:rsidRPr="00C77E03">
        <w:rPr>
          <w:b/>
          <w:color w:val="000000" w:themeColor="text1"/>
          <w:szCs w:val="28"/>
        </w:rPr>
        <w:t>187 864,6</w:t>
      </w:r>
      <w:r w:rsidRPr="00C77E03">
        <w:rPr>
          <w:color w:val="000000" w:themeColor="text1"/>
          <w:szCs w:val="28"/>
        </w:rPr>
        <w:t xml:space="preserve"> тис.грн; по кредитуванню  повернуто  ”-” </w:t>
      </w:r>
      <w:r w:rsidR="00CF7306" w:rsidRPr="00C77E03">
        <w:rPr>
          <w:b/>
          <w:color w:val="000000" w:themeColor="text1"/>
          <w:szCs w:val="28"/>
        </w:rPr>
        <w:t>83,3</w:t>
      </w:r>
      <w:r w:rsidRPr="00C77E03">
        <w:rPr>
          <w:color w:val="000000" w:themeColor="text1"/>
          <w:szCs w:val="28"/>
        </w:rPr>
        <w:t xml:space="preserve"> тис.грн. </w:t>
      </w:r>
    </w:p>
    <w:p w:rsidR="002807A6" w:rsidRPr="005A3FEE" w:rsidRDefault="002807A6" w:rsidP="002807A6">
      <w:pPr>
        <w:pStyle w:val="a3"/>
        <w:tabs>
          <w:tab w:val="left" w:pos="540"/>
        </w:tabs>
        <w:rPr>
          <w:szCs w:val="28"/>
        </w:rPr>
      </w:pPr>
    </w:p>
    <w:p w:rsidR="002807A6" w:rsidRPr="005A3FEE" w:rsidRDefault="00EA2D5E" w:rsidP="00EA2D5E">
      <w:pPr>
        <w:pStyle w:val="a3"/>
        <w:tabs>
          <w:tab w:val="left" w:pos="540"/>
        </w:tabs>
        <w:rPr>
          <w:szCs w:val="28"/>
        </w:rPr>
      </w:pPr>
      <w:r w:rsidRPr="005A3FEE">
        <w:rPr>
          <w:szCs w:val="28"/>
        </w:rPr>
        <w:t>Н</w:t>
      </w:r>
      <w:r w:rsidR="002807A6" w:rsidRPr="005A3FEE">
        <w:rPr>
          <w:szCs w:val="28"/>
        </w:rPr>
        <w:t>ачальник фінансового управління</w:t>
      </w:r>
      <w:r w:rsidRPr="005A3FEE">
        <w:rPr>
          <w:szCs w:val="28"/>
        </w:rPr>
        <w:tab/>
      </w:r>
      <w:r w:rsidRPr="005A3FEE">
        <w:rPr>
          <w:szCs w:val="28"/>
        </w:rPr>
        <w:tab/>
      </w:r>
      <w:r w:rsidRPr="005A3FEE">
        <w:rPr>
          <w:szCs w:val="28"/>
        </w:rPr>
        <w:tab/>
      </w:r>
      <w:r w:rsidRPr="005A3FEE">
        <w:rPr>
          <w:szCs w:val="28"/>
        </w:rPr>
        <w:tab/>
      </w:r>
      <w:r w:rsidRPr="005A3FEE">
        <w:rPr>
          <w:szCs w:val="28"/>
        </w:rPr>
        <w:tab/>
        <w:t xml:space="preserve">  Валентина ТАЦЮК</w:t>
      </w:r>
    </w:p>
    <w:p w:rsidR="002807A6" w:rsidRPr="00592EC9" w:rsidRDefault="002807A6" w:rsidP="00592EC9">
      <w:pPr>
        <w:pStyle w:val="a3"/>
        <w:tabs>
          <w:tab w:val="left" w:pos="540"/>
        </w:tabs>
        <w:ind w:firstLine="851"/>
        <w:rPr>
          <w:szCs w:val="28"/>
        </w:rPr>
      </w:pPr>
      <w:r w:rsidRPr="005A3FEE">
        <w:rPr>
          <w:szCs w:val="28"/>
        </w:rPr>
        <w:t xml:space="preserve">            </w:t>
      </w:r>
      <w:r w:rsidRPr="005A3FEE">
        <w:rPr>
          <w:sz w:val="20"/>
        </w:rPr>
        <w:t xml:space="preserve">      </w:t>
      </w:r>
    </w:p>
    <w:p w:rsidR="00592EC9" w:rsidRDefault="00F13F64" w:rsidP="002807A6">
      <w:pPr>
        <w:pStyle w:val="a3"/>
        <w:tabs>
          <w:tab w:val="left" w:pos="567"/>
        </w:tabs>
        <w:rPr>
          <w:sz w:val="20"/>
        </w:rPr>
      </w:pPr>
      <w:r w:rsidRPr="005A3FEE">
        <w:rPr>
          <w:sz w:val="20"/>
        </w:rPr>
        <w:t xml:space="preserve">Олена </w:t>
      </w:r>
      <w:proofErr w:type="spellStart"/>
      <w:r w:rsidRPr="005A3FEE">
        <w:rPr>
          <w:sz w:val="20"/>
        </w:rPr>
        <w:t>Хандучка</w:t>
      </w:r>
      <w:proofErr w:type="spellEnd"/>
      <w:r w:rsidR="002807A6" w:rsidRPr="005A3FEE">
        <w:rPr>
          <w:sz w:val="20"/>
        </w:rPr>
        <w:t xml:space="preserve"> 2-43-83</w:t>
      </w:r>
    </w:p>
    <w:p w:rsidR="00497D4A" w:rsidRPr="00592EC9" w:rsidRDefault="002807A6" w:rsidP="00592EC9">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p>
    <w:sectPr w:rsidR="00497D4A" w:rsidRPr="00592EC9"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5984"/>
    <w:rsid w:val="000867E7"/>
    <w:rsid w:val="0009674A"/>
    <w:rsid w:val="00096B9C"/>
    <w:rsid w:val="0009778D"/>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D7AD0"/>
    <w:rsid w:val="000E0365"/>
    <w:rsid w:val="000E127D"/>
    <w:rsid w:val="000E47E1"/>
    <w:rsid w:val="000E5BBD"/>
    <w:rsid w:val="000F28CE"/>
    <w:rsid w:val="000F2F8B"/>
    <w:rsid w:val="001023E2"/>
    <w:rsid w:val="00103730"/>
    <w:rsid w:val="00103D49"/>
    <w:rsid w:val="0011553D"/>
    <w:rsid w:val="00117AFB"/>
    <w:rsid w:val="001200BA"/>
    <w:rsid w:val="00125BD1"/>
    <w:rsid w:val="00125E3F"/>
    <w:rsid w:val="001261F8"/>
    <w:rsid w:val="0012748F"/>
    <w:rsid w:val="00133020"/>
    <w:rsid w:val="00133568"/>
    <w:rsid w:val="00140075"/>
    <w:rsid w:val="00140AD3"/>
    <w:rsid w:val="00140F78"/>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77037"/>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3153"/>
    <w:rsid w:val="001D4546"/>
    <w:rsid w:val="001D54DF"/>
    <w:rsid w:val="001D70D4"/>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062B"/>
    <w:rsid w:val="002B1208"/>
    <w:rsid w:val="002B384D"/>
    <w:rsid w:val="002B5AE3"/>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0DA0"/>
    <w:rsid w:val="003D10B8"/>
    <w:rsid w:val="003D18FC"/>
    <w:rsid w:val="003D334D"/>
    <w:rsid w:val="003D35F8"/>
    <w:rsid w:val="003D5A64"/>
    <w:rsid w:val="003E149D"/>
    <w:rsid w:val="003E4A73"/>
    <w:rsid w:val="003E68D0"/>
    <w:rsid w:val="003F1AC3"/>
    <w:rsid w:val="003F3BF4"/>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56F02"/>
    <w:rsid w:val="00473517"/>
    <w:rsid w:val="004769B0"/>
    <w:rsid w:val="004769BD"/>
    <w:rsid w:val="00477062"/>
    <w:rsid w:val="004806C2"/>
    <w:rsid w:val="0048075B"/>
    <w:rsid w:val="0048234C"/>
    <w:rsid w:val="00485E0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3AA1"/>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46"/>
    <w:rsid w:val="005203FC"/>
    <w:rsid w:val="00520A23"/>
    <w:rsid w:val="00524426"/>
    <w:rsid w:val="00525470"/>
    <w:rsid w:val="005266C6"/>
    <w:rsid w:val="00526A01"/>
    <w:rsid w:val="00527DBC"/>
    <w:rsid w:val="00530CC6"/>
    <w:rsid w:val="00532D4A"/>
    <w:rsid w:val="00536BF8"/>
    <w:rsid w:val="005401F6"/>
    <w:rsid w:val="00540262"/>
    <w:rsid w:val="00540663"/>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2EC9"/>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D48AE"/>
    <w:rsid w:val="005E0360"/>
    <w:rsid w:val="005E2EC6"/>
    <w:rsid w:val="005E4A48"/>
    <w:rsid w:val="005E4DE3"/>
    <w:rsid w:val="005F17FD"/>
    <w:rsid w:val="005F1890"/>
    <w:rsid w:val="005F3C6B"/>
    <w:rsid w:val="005F463A"/>
    <w:rsid w:val="005F70A6"/>
    <w:rsid w:val="00600CFD"/>
    <w:rsid w:val="006018F6"/>
    <w:rsid w:val="006021B1"/>
    <w:rsid w:val="006031C1"/>
    <w:rsid w:val="0060354D"/>
    <w:rsid w:val="0060460B"/>
    <w:rsid w:val="006061B7"/>
    <w:rsid w:val="0060645F"/>
    <w:rsid w:val="00610E6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5A9D"/>
    <w:rsid w:val="006D67B0"/>
    <w:rsid w:val="006E3074"/>
    <w:rsid w:val="006E6114"/>
    <w:rsid w:val="006E7BB4"/>
    <w:rsid w:val="006F0A4C"/>
    <w:rsid w:val="006F0EFB"/>
    <w:rsid w:val="006F2B4A"/>
    <w:rsid w:val="006F4DC9"/>
    <w:rsid w:val="00700BAA"/>
    <w:rsid w:val="00700C97"/>
    <w:rsid w:val="00702AD7"/>
    <w:rsid w:val="00705D0E"/>
    <w:rsid w:val="00706F2C"/>
    <w:rsid w:val="00710F9A"/>
    <w:rsid w:val="00711087"/>
    <w:rsid w:val="007111E2"/>
    <w:rsid w:val="00712383"/>
    <w:rsid w:val="00712A99"/>
    <w:rsid w:val="00713367"/>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83897"/>
    <w:rsid w:val="007916A7"/>
    <w:rsid w:val="00792234"/>
    <w:rsid w:val="00794922"/>
    <w:rsid w:val="00795088"/>
    <w:rsid w:val="00797651"/>
    <w:rsid w:val="007A0969"/>
    <w:rsid w:val="007A536A"/>
    <w:rsid w:val="007B08E9"/>
    <w:rsid w:val="007B607C"/>
    <w:rsid w:val="007B6A54"/>
    <w:rsid w:val="007B73C3"/>
    <w:rsid w:val="007C05DF"/>
    <w:rsid w:val="007C1A15"/>
    <w:rsid w:val="007C7C78"/>
    <w:rsid w:val="007C7EE7"/>
    <w:rsid w:val="007D2C16"/>
    <w:rsid w:val="007D6A06"/>
    <w:rsid w:val="007D7F77"/>
    <w:rsid w:val="007E04F6"/>
    <w:rsid w:val="007E2326"/>
    <w:rsid w:val="007E4F24"/>
    <w:rsid w:val="007E782B"/>
    <w:rsid w:val="007F0932"/>
    <w:rsid w:val="007F7061"/>
    <w:rsid w:val="008042C8"/>
    <w:rsid w:val="0081126D"/>
    <w:rsid w:val="00815CA9"/>
    <w:rsid w:val="008161F3"/>
    <w:rsid w:val="00820CC4"/>
    <w:rsid w:val="0082595C"/>
    <w:rsid w:val="00825FA7"/>
    <w:rsid w:val="00832412"/>
    <w:rsid w:val="00844D34"/>
    <w:rsid w:val="00851168"/>
    <w:rsid w:val="008575D7"/>
    <w:rsid w:val="00857F9B"/>
    <w:rsid w:val="008615B8"/>
    <w:rsid w:val="00861777"/>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D4F02"/>
    <w:rsid w:val="008D66F4"/>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1A31"/>
    <w:rsid w:val="0099527B"/>
    <w:rsid w:val="009960E5"/>
    <w:rsid w:val="0099730F"/>
    <w:rsid w:val="009A0A6A"/>
    <w:rsid w:val="009A2B81"/>
    <w:rsid w:val="009A4A9C"/>
    <w:rsid w:val="009A6A06"/>
    <w:rsid w:val="009B2600"/>
    <w:rsid w:val="009B399F"/>
    <w:rsid w:val="009B3D50"/>
    <w:rsid w:val="009C0023"/>
    <w:rsid w:val="009C214A"/>
    <w:rsid w:val="009C2582"/>
    <w:rsid w:val="009C5BFF"/>
    <w:rsid w:val="009C7790"/>
    <w:rsid w:val="009C7A2E"/>
    <w:rsid w:val="009D083E"/>
    <w:rsid w:val="009D6195"/>
    <w:rsid w:val="009E0CFE"/>
    <w:rsid w:val="009E7766"/>
    <w:rsid w:val="009F4633"/>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96E"/>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1B40"/>
    <w:rsid w:val="00B1337B"/>
    <w:rsid w:val="00B2026A"/>
    <w:rsid w:val="00B224C3"/>
    <w:rsid w:val="00B2359A"/>
    <w:rsid w:val="00B2375D"/>
    <w:rsid w:val="00B2530C"/>
    <w:rsid w:val="00B27762"/>
    <w:rsid w:val="00B306F7"/>
    <w:rsid w:val="00B31D0C"/>
    <w:rsid w:val="00B333AF"/>
    <w:rsid w:val="00B37C0A"/>
    <w:rsid w:val="00B425CF"/>
    <w:rsid w:val="00B42A77"/>
    <w:rsid w:val="00B50A80"/>
    <w:rsid w:val="00B50CA4"/>
    <w:rsid w:val="00B5416B"/>
    <w:rsid w:val="00B552A3"/>
    <w:rsid w:val="00B568AD"/>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C7F70"/>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36F1"/>
    <w:rsid w:val="00C77E03"/>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306"/>
    <w:rsid w:val="00CF75EA"/>
    <w:rsid w:val="00D019E6"/>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3AAC"/>
    <w:rsid w:val="00DA3F2C"/>
    <w:rsid w:val="00DB2103"/>
    <w:rsid w:val="00DB2708"/>
    <w:rsid w:val="00DB4D38"/>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7C0"/>
    <w:rsid w:val="00DF2C7A"/>
    <w:rsid w:val="00DF5F26"/>
    <w:rsid w:val="00DF780C"/>
    <w:rsid w:val="00DF7AA6"/>
    <w:rsid w:val="00E00BA5"/>
    <w:rsid w:val="00E01D45"/>
    <w:rsid w:val="00E02F27"/>
    <w:rsid w:val="00E070B9"/>
    <w:rsid w:val="00E077DC"/>
    <w:rsid w:val="00E1080F"/>
    <w:rsid w:val="00E20B4C"/>
    <w:rsid w:val="00E20C2F"/>
    <w:rsid w:val="00E22A0F"/>
    <w:rsid w:val="00E265F2"/>
    <w:rsid w:val="00E26B40"/>
    <w:rsid w:val="00E26DAC"/>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A30"/>
    <w:rsid w:val="00EA4C62"/>
    <w:rsid w:val="00EA7429"/>
    <w:rsid w:val="00EB2B53"/>
    <w:rsid w:val="00EB39C7"/>
    <w:rsid w:val="00EB4B8C"/>
    <w:rsid w:val="00EB706B"/>
    <w:rsid w:val="00EC73DD"/>
    <w:rsid w:val="00ED215A"/>
    <w:rsid w:val="00ED29E4"/>
    <w:rsid w:val="00ED3613"/>
    <w:rsid w:val="00ED3AC4"/>
    <w:rsid w:val="00ED64DE"/>
    <w:rsid w:val="00ED6519"/>
    <w:rsid w:val="00ED7170"/>
    <w:rsid w:val="00ED7A7C"/>
    <w:rsid w:val="00EE275B"/>
    <w:rsid w:val="00EE4284"/>
    <w:rsid w:val="00EE6657"/>
    <w:rsid w:val="00EE6C00"/>
    <w:rsid w:val="00EF42D4"/>
    <w:rsid w:val="00EF4C85"/>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8DC"/>
    <w:rsid w:val="00F73B5E"/>
    <w:rsid w:val="00F763C0"/>
    <w:rsid w:val="00F76E93"/>
    <w:rsid w:val="00F77D90"/>
    <w:rsid w:val="00F84EFE"/>
    <w:rsid w:val="00F865AA"/>
    <w:rsid w:val="00F873C0"/>
    <w:rsid w:val="00F9002D"/>
    <w:rsid w:val="00F9087F"/>
    <w:rsid w:val="00F9474A"/>
    <w:rsid w:val="00F9583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44F5E"/>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2</Pages>
  <Words>669</Words>
  <Characters>4340</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217</cp:revision>
  <cp:lastPrinted>2023-11-15T09:28:00Z</cp:lastPrinted>
  <dcterms:created xsi:type="dcterms:W3CDTF">2022-10-05T05:21:00Z</dcterms:created>
  <dcterms:modified xsi:type="dcterms:W3CDTF">2024-01-12T12:21:00Z</dcterms:modified>
</cp:coreProperties>
</file>